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790A" w:rsidRPr="00B4790A" w:rsidRDefault="00B4790A" w:rsidP="00CA6C45">
      <w:pPr>
        <w:jc w:val="center"/>
        <w:rPr>
          <w:b/>
          <w:sz w:val="28"/>
          <w:szCs w:val="28"/>
        </w:rPr>
      </w:pPr>
    </w:p>
    <w:p w:rsidR="00821A7C" w:rsidRDefault="00821A7C" w:rsidP="00CA6C45">
      <w:pPr>
        <w:spacing w:line="276" w:lineRule="auto"/>
        <w:ind w:firstLine="567"/>
        <w:jc w:val="both"/>
        <w:rPr>
          <w:b/>
          <w:bCs/>
          <w:sz w:val="28"/>
          <w:szCs w:val="28"/>
        </w:rPr>
      </w:pPr>
      <w:r w:rsidRPr="00821A7C">
        <w:rPr>
          <w:b/>
          <w:bCs/>
          <w:sz w:val="28"/>
          <w:szCs w:val="28"/>
        </w:rPr>
        <w:t xml:space="preserve">2025: </w:t>
      </w:r>
      <w:r w:rsidR="009505F4">
        <w:rPr>
          <w:b/>
          <w:bCs/>
          <w:sz w:val="28"/>
          <w:szCs w:val="28"/>
        </w:rPr>
        <w:t>Захист прав</w:t>
      </w:r>
      <w:r w:rsidR="00CA6C45" w:rsidRPr="00821A7C">
        <w:rPr>
          <w:b/>
          <w:bCs/>
          <w:sz w:val="28"/>
          <w:szCs w:val="28"/>
        </w:rPr>
        <w:t xml:space="preserve"> дітей </w:t>
      </w:r>
    </w:p>
    <w:p w:rsidR="009505F4" w:rsidRDefault="009505F4" w:rsidP="00CA6C45">
      <w:pPr>
        <w:spacing w:line="276" w:lineRule="auto"/>
        <w:ind w:firstLine="567"/>
        <w:jc w:val="both"/>
        <w:rPr>
          <w:sz w:val="28"/>
          <w:szCs w:val="28"/>
        </w:rPr>
      </w:pPr>
    </w:p>
    <w:p w:rsidR="00821A7C" w:rsidRDefault="00CA6C45" w:rsidP="00CA6C45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 території Калуської міської територіальної громади проживає 14 535 дитини (з них: 1234 </w:t>
      </w:r>
      <w:r w:rsidR="00821A7C">
        <w:rPr>
          <w:rFonts w:ascii="Times New Roman" w:hAnsi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/>
          <w:sz w:val="28"/>
          <w:szCs w:val="28"/>
          <w:lang w:val="uk-UA"/>
        </w:rPr>
        <w:t>внутрішньо переміщені)</w:t>
      </w:r>
      <w:r w:rsidR="00821A7C">
        <w:rPr>
          <w:rFonts w:ascii="Times New Roman" w:hAnsi="Times New Roman"/>
          <w:sz w:val="28"/>
          <w:szCs w:val="28"/>
          <w:lang w:val="uk-UA"/>
        </w:rPr>
        <w:t>.</w:t>
      </w:r>
    </w:p>
    <w:p w:rsidR="00821A7C" w:rsidRDefault="00821A7C" w:rsidP="00821A7C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 первинному обліку в Службі </w:t>
      </w:r>
      <w:r w:rsidR="009505F4" w:rsidRPr="009505F4">
        <w:rPr>
          <w:rFonts w:ascii="Times New Roman" w:hAnsi="Times New Roman"/>
          <w:sz w:val="28"/>
          <w:szCs w:val="28"/>
          <w:lang w:val="uk-UA"/>
        </w:rPr>
        <w:t xml:space="preserve">у справах </w:t>
      </w:r>
      <w:proofErr w:type="spellStart"/>
      <w:r w:rsidR="009505F4" w:rsidRPr="009505F4">
        <w:rPr>
          <w:rFonts w:ascii="Times New Roman" w:hAnsi="Times New Roman"/>
          <w:sz w:val="28"/>
          <w:szCs w:val="28"/>
          <w:lang w:val="uk-UA"/>
        </w:rPr>
        <w:t>дітей</w:t>
      </w:r>
      <w:proofErr w:type="spellEnd"/>
      <w:r w:rsidR="009505F4" w:rsidRPr="009505F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9505F4" w:rsidRPr="009505F4">
        <w:rPr>
          <w:rFonts w:ascii="Times New Roman" w:hAnsi="Times New Roman"/>
          <w:sz w:val="28"/>
          <w:szCs w:val="28"/>
          <w:lang w:val="uk-UA"/>
        </w:rPr>
        <w:t>Калуської</w:t>
      </w:r>
      <w:proofErr w:type="spellEnd"/>
      <w:r w:rsidR="009505F4" w:rsidRPr="009505F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9505F4" w:rsidRPr="009505F4">
        <w:rPr>
          <w:rFonts w:ascii="Times New Roman" w:hAnsi="Times New Roman"/>
          <w:sz w:val="28"/>
          <w:szCs w:val="28"/>
          <w:lang w:val="uk-UA"/>
        </w:rPr>
        <w:t>міської</w:t>
      </w:r>
      <w:proofErr w:type="spellEnd"/>
      <w:r w:rsidR="009505F4" w:rsidRPr="009505F4">
        <w:rPr>
          <w:rFonts w:ascii="Times New Roman" w:hAnsi="Times New Roman"/>
          <w:sz w:val="28"/>
          <w:szCs w:val="28"/>
          <w:lang w:val="uk-UA"/>
        </w:rPr>
        <w:t xml:space="preserve"> ради</w:t>
      </w:r>
      <w:r w:rsidR="009505F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перебуває:</w:t>
      </w:r>
    </w:p>
    <w:p w:rsidR="00821A7C" w:rsidRDefault="00821A7C" w:rsidP="00821A7C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99 дітей</w:t>
      </w:r>
      <w:r w:rsidR="00CA6C45">
        <w:rPr>
          <w:rFonts w:ascii="Times New Roman" w:hAnsi="Times New Roman"/>
          <w:sz w:val="28"/>
          <w:szCs w:val="28"/>
          <w:lang w:val="uk-UA"/>
        </w:rPr>
        <w:t>, які залишилися без батьківського піклування, дітей-сиріт та дітей, позбавлених батьківського піклування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821A7C" w:rsidRDefault="00CA6C45" w:rsidP="00821A7C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11</w:t>
      </w:r>
      <w:r>
        <w:rPr>
          <w:rFonts w:ascii="Times New Roman" w:hAnsi="Times New Roman"/>
          <w:sz w:val="28"/>
          <w:szCs w:val="28"/>
          <w:lang w:val="uk-UA"/>
        </w:rPr>
        <w:t xml:space="preserve"> дітей, які можуть бути усиновлені</w:t>
      </w:r>
      <w:r w:rsidR="00821A7C">
        <w:rPr>
          <w:rFonts w:ascii="Times New Roman" w:hAnsi="Times New Roman"/>
          <w:sz w:val="28"/>
          <w:szCs w:val="28"/>
          <w:lang w:val="uk-UA"/>
        </w:rPr>
        <w:t>;</w:t>
      </w:r>
    </w:p>
    <w:p w:rsidR="00821A7C" w:rsidRDefault="00821A7C" w:rsidP="00821A7C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A6C45">
        <w:rPr>
          <w:rFonts w:ascii="Times New Roman" w:hAnsi="Times New Roman"/>
          <w:sz w:val="28"/>
          <w:szCs w:val="28"/>
          <w:lang w:val="uk-UA"/>
        </w:rPr>
        <w:t xml:space="preserve">4 кандидати в усиновителі. </w:t>
      </w:r>
    </w:p>
    <w:p w:rsidR="00CA6C45" w:rsidRDefault="00821A7C" w:rsidP="00821A7C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40 </w:t>
      </w:r>
      <w:r w:rsidR="00CA6C45">
        <w:rPr>
          <w:rFonts w:ascii="Times New Roman" w:hAnsi="Times New Roman"/>
          <w:sz w:val="28"/>
          <w:szCs w:val="28"/>
          <w:lang w:val="uk-UA"/>
        </w:rPr>
        <w:t>усиновлен</w:t>
      </w:r>
      <w:r>
        <w:rPr>
          <w:rFonts w:ascii="Times New Roman" w:hAnsi="Times New Roman"/>
          <w:sz w:val="28"/>
          <w:szCs w:val="28"/>
          <w:lang w:val="uk-UA"/>
        </w:rPr>
        <w:t>их</w:t>
      </w:r>
      <w:r w:rsidR="00CA6C4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за рішенням судів</w:t>
      </w:r>
      <w:r w:rsidR="00CA6C45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CA6C45" w:rsidRDefault="00821A7C" w:rsidP="00821A7C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104 </w:t>
      </w:r>
      <w:r w:rsidR="00CA6C45">
        <w:rPr>
          <w:rFonts w:ascii="Times New Roman" w:hAnsi="Times New Roman"/>
          <w:sz w:val="28"/>
          <w:szCs w:val="28"/>
          <w:lang w:val="uk-UA"/>
        </w:rPr>
        <w:t>дітей, які перебувають у складних життєвих обставинах, які проживають у 72 сім’ях.</w:t>
      </w:r>
    </w:p>
    <w:p w:rsidR="00821A7C" w:rsidRDefault="00821A7C" w:rsidP="00CA6C45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A6C45" w:rsidRDefault="00CA6C45" w:rsidP="00CA6C45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 2025 році </w:t>
      </w:r>
      <w:r w:rsidR="009505F4">
        <w:rPr>
          <w:rFonts w:ascii="Times New Roman" w:hAnsi="Times New Roman"/>
          <w:bCs/>
          <w:sz w:val="29"/>
          <w:szCs w:val="29"/>
          <w:shd w:val="clear" w:color="auto" w:fill="FFFFFF"/>
          <w:lang w:val="uk-UA"/>
        </w:rPr>
        <w:t>5 дітям</w:t>
      </w:r>
      <w:r w:rsidR="009505F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надано </w:t>
      </w:r>
      <w:r>
        <w:rPr>
          <w:rFonts w:ascii="Times New Roman" w:hAnsi="Times New Roman"/>
          <w:bCs/>
          <w:sz w:val="29"/>
          <w:szCs w:val="29"/>
          <w:shd w:val="clear" w:color="auto" w:fill="FFFFFF"/>
          <w:lang w:val="uk-UA"/>
        </w:rPr>
        <w:t>статус дитини, яка постраждала внаслідок воєнних дій та збройних конфліктів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821A7C" w:rsidRDefault="00821A7C" w:rsidP="00CA6C45">
      <w:pPr>
        <w:spacing w:line="276" w:lineRule="auto"/>
        <w:ind w:firstLine="567"/>
        <w:jc w:val="center"/>
        <w:rPr>
          <w:b/>
          <w:sz w:val="28"/>
          <w:szCs w:val="28"/>
        </w:rPr>
      </w:pPr>
    </w:p>
    <w:p w:rsidR="00CA6C45" w:rsidRDefault="00CA6C45" w:rsidP="00CA6C45">
      <w:pPr>
        <w:pStyle w:val="a4"/>
        <w:spacing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CA6C45" w:rsidRDefault="00CA6C45" w:rsidP="00CA6C45">
      <w:pPr>
        <w:pStyle w:val="a3"/>
        <w:spacing w:after="0"/>
        <w:jc w:val="center"/>
        <w:rPr>
          <w:noProof/>
          <w:color w:val="auto"/>
          <w:sz w:val="28"/>
          <w:szCs w:val="20"/>
        </w:rPr>
      </w:pPr>
      <w:r>
        <w:rPr>
          <w:noProof/>
          <w:color w:val="auto"/>
          <w:sz w:val="28"/>
          <w:szCs w:val="20"/>
        </w:rPr>
        <w:t>Первинний облік дітей, які залишилися без батьківського піклування,</w:t>
      </w:r>
    </w:p>
    <w:p w:rsidR="00CA6C45" w:rsidRDefault="00CA6C45" w:rsidP="00CA6C45">
      <w:pPr>
        <w:pStyle w:val="a3"/>
        <w:spacing w:after="0"/>
        <w:jc w:val="center"/>
        <w:rPr>
          <w:noProof/>
          <w:color w:val="auto"/>
          <w:sz w:val="28"/>
          <w:szCs w:val="20"/>
        </w:rPr>
      </w:pPr>
      <w:r>
        <w:rPr>
          <w:noProof/>
          <w:color w:val="auto"/>
          <w:sz w:val="28"/>
          <w:szCs w:val="20"/>
        </w:rPr>
        <w:t>дітей-сиріт та дітей, позбавлених батьківського піклування</w:t>
      </w:r>
    </w:p>
    <w:p w:rsidR="00CA6C45" w:rsidRDefault="00CA6C45" w:rsidP="00CA6C45">
      <w:pPr>
        <w:pStyle w:val="a3"/>
        <w:spacing w:after="0"/>
        <w:jc w:val="center"/>
        <w:rPr>
          <w:noProof/>
          <w:color w:val="auto"/>
          <w:sz w:val="28"/>
          <w:szCs w:val="20"/>
        </w:rPr>
      </w:pPr>
      <w:r>
        <w:rPr>
          <w:noProof/>
          <w:color w:val="auto"/>
          <w:sz w:val="28"/>
          <w:szCs w:val="20"/>
        </w:rPr>
        <w:t>за 2021-20</w:t>
      </w:r>
      <w:r>
        <w:rPr>
          <w:noProof/>
          <w:color w:val="auto"/>
          <w:sz w:val="28"/>
          <w:szCs w:val="20"/>
          <w:lang w:val="en-US"/>
        </w:rPr>
        <w:t>2</w:t>
      </w:r>
      <w:r>
        <w:rPr>
          <w:noProof/>
          <w:color w:val="auto"/>
          <w:sz w:val="28"/>
          <w:szCs w:val="20"/>
        </w:rPr>
        <w:t>5 роки</w:t>
      </w:r>
    </w:p>
    <w:p w:rsidR="00CA6C45" w:rsidRDefault="00CA6C45" w:rsidP="00CA6C45"/>
    <w:p w:rsidR="00CA6C45" w:rsidRDefault="00CA6C45" w:rsidP="00CA6C45">
      <w:r>
        <w:rPr>
          <w:noProof/>
          <w:lang w:eastAsia="uk-UA"/>
        </w:rPr>
        <w:drawing>
          <wp:inline distT="0" distB="0" distL="0" distR="0">
            <wp:extent cx="6038850" cy="1409700"/>
            <wp:effectExtent l="0" t="0" r="0" b="0"/>
            <wp:docPr id="1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CA6C45" w:rsidRDefault="00CA6C45" w:rsidP="00CA6C45">
      <w:pPr>
        <w:pStyle w:val="a3"/>
        <w:spacing w:after="0" w:line="276" w:lineRule="auto"/>
        <w:jc w:val="center"/>
        <w:rPr>
          <w:i/>
          <w:noProof/>
          <w:color w:val="auto"/>
          <w:sz w:val="24"/>
          <w:szCs w:val="20"/>
        </w:rPr>
      </w:pPr>
      <w:r>
        <w:rPr>
          <w:i/>
          <w:color w:val="auto"/>
          <w:sz w:val="24"/>
          <w:szCs w:val="20"/>
        </w:rPr>
        <w:t xml:space="preserve">Рисунок </w:t>
      </w:r>
      <w:r w:rsidR="00797B0D">
        <w:rPr>
          <w:i/>
          <w:color w:val="auto"/>
          <w:sz w:val="24"/>
          <w:szCs w:val="20"/>
        </w:rPr>
        <w:fldChar w:fldCharType="begin"/>
      </w:r>
      <w:r>
        <w:rPr>
          <w:i/>
          <w:color w:val="auto"/>
          <w:sz w:val="24"/>
          <w:szCs w:val="20"/>
        </w:rPr>
        <w:instrText xml:space="preserve"> SEQ Рисунок \* ARABIC </w:instrText>
      </w:r>
      <w:r w:rsidR="00797B0D">
        <w:rPr>
          <w:i/>
          <w:color w:val="auto"/>
          <w:sz w:val="24"/>
          <w:szCs w:val="20"/>
        </w:rPr>
        <w:fldChar w:fldCharType="separate"/>
      </w:r>
      <w:r>
        <w:rPr>
          <w:i/>
          <w:noProof/>
          <w:color w:val="auto"/>
          <w:sz w:val="24"/>
          <w:szCs w:val="20"/>
        </w:rPr>
        <w:t>1</w:t>
      </w:r>
      <w:r w:rsidR="00797B0D">
        <w:rPr>
          <w:i/>
          <w:color w:val="auto"/>
          <w:sz w:val="24"/>
          <w:szCs w:val="20"/>
        </w:rPr>
        <w:fldChar w:fldCharType="end"/>
      </w:r>
      <w:r>
        <w:rPr>
          <w:i/>
          <w:noProof/>
          <w:color w:val="auto"/>
          <w:sz w:val="24"/>
          <w:szCs w:val="20"/>
        </w:rPr>
        <w:t xml:space="preserve"> </w:t>
      </w:r>
    </w:p>
    <w:p w:rsidR="00CA6C45" w:rsidRDefault="00CA6C45" w:rsidP="00CA6C45">
      <w:pPr>
        <w:pStyle w:val="a3"/>
        <w:spacing w:after="0"/>
        <w:jc w:val="center"/>
        <w:rPr>
          <w:noProof/>
          <w:color w:val="auto"/>
          <w:sz w:val="28"/>
          <w:szCs w:val="28"/>
        </w:rPr>
      </w:pPr>
    </w:p>
    <w:p w:rsidR="00CA6C45" w:rsidRDefault="00CA6C45" w:rsidP="00CA6C45">
      <w:pPr>
        <w:pStyle w:val="a3"/>
        <w:spacing w:after="0"/>
        <w:jc w:val="center"/>
        <w:rPr>
          <w:noProof/>
          <w:color w:val="auto"/>
          <w:sz w:val="28"/>
          <w:szCs w:val="28"/>
        </w:rPr>
      </w:pPr>
    </w:p>
    <w:p w:rsidR="004F2F71" w:rsidRDefault="004F2F71" w:rsidP="004F2F71"/>
    <w:p w:rsidR="004F2F71" w:rsidRPr="004F2F71" w:rsidRDefault="004F2F71" w:rsidP="004F2F71"/>
    <w:p w:rsidR="00CA6C45" w:rsidRDefault="00CA6C45" w:rsidP="00CA6C45">
      <w:pPr>
        <w:pStyle w:val="a3"/>
        <w:spacing w:after="0"/>
        <w:jc w:val="center"/>
        <w:rPr>
          <w:noProof/>
          <w:color w:val="auto"/>
          <w:sz w:val="28"/>
          <w:szCs w:val="28"/>
        </w:rPr>
      </w:pPr>
    </w:p>
    <w:p w:rsidR="00CA6C45" w:rsidRDefault="00C03A6C" w:rsidP="00CA6C45">
      <w:pPr>
        <w:pStyle w:val="a3"/>
        <w:spacing w:after="0"/>
        <w:jc w:val="center"/>
        <w:rPr>
          <w:noProof/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t>Частка д</w:t>
      </w:r>
      <w:r w:rsidR="00CA6C45">
        <w:rPr>
          <w:noProof/>
          <w:color w:val="auto"/>
          <w:sz w:val="28"/>
          <w:szCs w:val="28"/>
        </w:rPr>
        <w:t>іт</w:t>
      </w:r>
      <w:r>
        <w:rPr>
          <w:noProof/>
          <w:color w:val="auto"/>
          <w:sz w:val="28"/>
          <w:szCs w:val="28"/>
        </w:rPr>
        <w:t>ей-</w:t>
      </w:r>
      <w:r>
        <w:rPr>
          <w:noProof/>
          <w:color w:val="auto"/>
          <w:sz w:val="28"/>
          <w:szCs w:val="28"/>
        </w:rPr>
        <w:t>сир</w:t>
      </w:r>
      <w:r>
        <w:rPr>
          <w:noProof/>
          <w:color w:val="auto"/>
          <w:sz w:val="28"/>
          <w:szCs w:val="28"/>
        </w:rPr>
        <w:t xml:space="preserve">іт та </w:t>
      </w:r>
      <w:r>
        <w:rPr>
          <w:noProof/>
          <w:color w:val="auto"/>
          <w:sz w:val="28"/>
          <w:szCs w:val="28"/>
        </w:rPr>
        <w:t>позбавлен</w:t>
      </w:r>
      <w:r>
        <w:rPr>
          <w:noProof/>
          <w:color w:val="auto"/>
          <w:sz w:val="28"/>
          <w:szCs w:val="28"/>
        </w:rPr>
        <w:t>их</w:t>
      </w:r>
      <w:r>
        <w:rPr>
          <w:noProof/>
          <w:color w:val="auto"/>
          <w:sz w:val="28"/>
          <w:szCs w:val="28"/>
        </w:rPr>
        <w:t xml:space="preserve"> батьківського піклування</w:t>
      </w:r>
      <w:r w:rsidR="00CA6C45">
        <w:rPr>
          <w:noProof/>
          <w:color w:val="auto"/>
          <w:sz w:val="28"/>
          <w:szCs w:val="28"/>
        </w:rPr>
        <w:t xml:space="preserve">,  </w:t>
      </w:r>
      <w:r>
        <w:rPr>
          <w:noProof/>
          <w:color w:val="auto"/>
          <w:sz w:val="28"/>
          <w:szCs w:val="28"/>
        </w:rPr>
        <w:t>що</w:t>
      </w:r>
      <w:r w:rsidR="00CA6C45">
        <w:rPr>
          <w:noProof/>
          <w:color w:val="auto"/>
          <w:sz w:val="28"/>
          <w:szCs w:val="28"/>
        </w:rPr>
        <w:t xml:space="preserve"> </w:t>
      </w:r>
      <w:r>
        <w:rPr>
          <w:noProof/>
          <w:color w:val="auto"/>
          <w:sz w:val="28"/>
          <w:szCs w:val="28"/>
        </w:rPr>
        <w:t xml:space="preserve">можуть бути усиновлені </w:t>
      </w:r>
    </w:p>
    <w:p w:rsidR="00CA6C45" w:rsidRDefault="00CA6C45" w:rsidP="00CA6C45">
      <w:pPr>
        <w:ind w:firstLine="567"/>
        <w:jc w:val="both"/>
        <w:rPr>
          <w:color w:val="FF0000"/>
          <w:sz w:val="28"/>
          <w:szCs w:val="28"/>
        </w:rPr>
      </w:pPr>
    </w:p>
    <w:p w:rsidR="00CA6C45" w:rsidRDefault="00CA6C45" w:rsidP="00CA6C45">
      <w:pPr>
        <w:pStyle w:val="a3"/>
        <w:spacing w:after="0" w:line="276" w:lineRule="auto"/>
        <w:jc w:val="center"/>
        <w:rPr>
          <w:i/>
          <w:noProof/>
          <w:color w:val="FF0000"/>
          <w:sz w:val="24"/>
          <w:szCs w:val="24"/>
        </w:rPr>
      </w:pPr>
      <w:r>
        <w:rPr>
          <w:noProof/>
          <w:lang w:eastAsia="uk-UA"/>
        </w:rPr>
        <w:lastRenderedPageBreak/>
        <w:drawing>
          <wp:inline distT="0" distB="0" distL="0" distR="0">
            <wp:extent cx="6010275" cy="2247900"/>
            <wp:effectExtent l="0" t="0" r="0" b="0"/>
            <wp:docPr id="2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CA6C45" w:rsidRDefault="00CA6C45" w:rsidP="00CA6C45">
      <w:pPr>
        <w:spacing w:line="276" w:lineRule="auto"/>
        <w:jc w:val="center"/>
        <w:rPr>
          <w:b/>
          <w:i/>
        </w:rPr>
      </w:pPr>
      <w:r>
        <w:rPr>
          <w:b/>
          <w:i/>
        </w:rPr>
        <w:t>Рисунок 2</w:t>
      </w:r>
    </w:p>
    <w:p w:rsidR="00C03A6C" w:rsidRDefault="00C03A6C" w:rsidP="00CA6C45">
      <w:pPr>
        <w:pStyle w:val="a4"/>
        <w:spacing w:line="276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A6C45" w:rsidRDefault="00CA6C45" w:rsidP="00CA6C45">
      <w:pPr>
        <w:pStyle w:val="a4"/>
        <w:spacing w:line="276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Порівняльна діаграма усиновлення дітей </w:t>
      </w:r>
    </w:p>
    <w:p w:rsidR="00CA6C45" w:rsidRDefault="00CA6C45" w:rsidP="00CA6C45">
      <w:pPr>
        <w:pStyle w:val="a4"/>
        <w:spacing w:line="276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 2021-2025 роки</w:t>
      </w:r>
    </w:p>
    <w:p w:rsidR="00CA6C45" w:rsidRDefault="00CA6C45" w:rsidP="00CA6C45">
      <w:pPr>
        <w:pStyle w:val="a4"/>
        <w:spacing w:line="276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5695950" cy="1695450"/>
            <wp:effectExtent l="0" t="0" r="0" b="0"/>
            <wp:docPr id="3" name="Объект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A6C45" w:rsidRDefault="00CA6C45" w:rsidP="00CA6C45">
      <w:pPr>
        <w:spacing w:line="276" w:lineRule="auto"/>
        <w:jc w:val="center"/>
        <w:rPr>
          <w:b/>
          <w:i/>
        </w:rPr>
      </w:pPr>
      <w:r>
        <w:rPr>
          <w:b/>
          <w:i/>
        </w:rPr>
        <w:t>Рисунок 3</w:t>
      </w:r>
    </w:p>
    <w:p w:rsidR="007A53D7" w:rsidRDefault="007A53D7" w:rsidP="00CA6C45">
      <w:pPr>
        <w:tabs>
          <w:tab w:val="left" w:pos="851"/>
        </w:tabs>
        <w:spacing w:line="276" w:lineRule="auto"/>
        <w:jc w:val="center"/>
        <w:rPr>
          <w:color w:val="000000"/>
          <w:sz w:val="28"/>
          <w:szCs w:val="28"/>
        </w:rPr>
      </w:pPr>
    </w:p>
    <w:p w:rsidR="00CA6C45" w:rsidRDefault="00AC46DA" w:rsidP="00AC46DA">
      <w:pPr>
        <w:tabs>
          <w:tab w:val="left" w:pos="851"/>
        </w:tabs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="00CA6C45">
        <w:rPr>
          <w:b/>
          <w:sz w:val="28"/>
          <w:szCs w:val="28"/>
        </w:rPr>
        <w:t>іяльн</w:t>
      </w:r>
      <w:r>
        <w:rPr>
          <w:b/>
          <w:sz w:val="28"/>
          <w:szCs w:val="28"/>
        </w:rPr>
        <w:t xml:space="preserve">ість </w:t>
      </w:r>
      <w:r w:rsidR="00CA6C45">
        <w:rPr>
          <w:b/>
          <w:sz w:val="28"/>
          <w:szCs w:val="28"/>
        </w:rPr>
        <w:t>комісії з питань захисту прав дитини</w:t>
      </w:r>
    </w:p>
    <w:p w:rsidR="00CA6C45" w:rsidRPr="00AC46DA" w:rsidRDefault="0054592E" w:rsidP="00AC46DA">
      <w:pPr>
        <w:pStyle w:val="a5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</w:t>
      </w:r>
      <w:r w:rsidR="00AC46DA">
        <w:rPr>
          <w:sz w:val="28"/>
          <w:szCs w:val="28"/>
          <w:shd w:val="clear" w:color="auto" w:fill="FFFFFF"/>
        </w:rPr>
        <w:t xml:space="preserve">Для забезпечення захисту прав </w:t>
      </w:r>
      <w:r w:rsidR="00AC46DA">
        <w:rPr>
          <w:sz w:val="28"/>
          <w:szCs w:val="28"/>
        </w:rPr>
        <w:t>дитини на життя, охорону здоров’я, освіту, соціальний захист</w:t>
      </w:r>
      <w:r w:rsidR="00AC46DA">
        <w:rPr>
          <w:sz w:val="28"/>
          <w:szCs w:val="28"/>
        </w:rPr>
        <w:t xml:space="preserve">, </w:t>
      </w:r>
      <w:r w:rsidR="00AC46DA">
        <w:rPr>
          <w:sz w:val="28"/>
          <w:szCs w:val="28"/>
        </w:rPr>
        <w:t>сімейне виховання</w:t>
      </w:r>
      <w:r w:rsidR="00AC46DA">
        <w:rPr>
          <w:sz w:val="28"/>
          <w:szCs w:val="28"/>
        </w:rPr>
        <w:t xml:space="preserve"> тощо </w:t>
      </w:r>
      <w:r>
        <w:rPr>
          <w:sz w:val="28"/>
          <w:szCs w:val="28"/>
          <w:shd w:val="clear" w:color="auto" w:fill="FFFFFF"/>
        </w:rPr>
        <w:t>працює спеціально створена</w:t>
      </w:r>
      <w:r w:rsidR="00CA6C45" w:rsidRPr="00AC46DA">
        <w:rPr>
          <w:sz w:val="28"/>
          <w:szCs w:val="28"/>
          <w:shd w:val="clear" w:color="auto" w:fill="FFFFFF"/>
        </w:rPr>
        <w:t xml:space="preserve"> комісі</w:t>
      </w:r>
      <w:r>
        <w:rPr>
          <w:sz w:val="28"/>
          <w:szCs w:val="28"/>
          <w:shd w:val="clear" w:color="auto" w:fill="FFFFFF"/>
        </w:rPr>
        <w:t>я</w:t>
      </w:r>
      <w:r w:rsidR="00CA6C45" w:rsidRPr="00AC46DA">
        <w:rPr>
          <w:sz w:val="28"/>
          <w:szCs w:val="28"/>
          <w:shd w:val="clear" w:color="auto" w:fill="FFFFFF"/>
        </w:rPr>
        <w:t xml:space="preserve">. </w:t>
      </w:r>
      <w:r w:rsidR="00CA6C45" w:rsidRPr="00AC46DA">
        <w:rPr>
          <w:sz w:val="16"/>
          <w:szCs w:val="16"/>
          <w:shd w:val="clear" w:color="auto" w:fill="FFFFFF"/>
        </w:rPr>
        <w:t> </w:t>
      </w:r>
      <w:r w:rsidR="00CA6C45" w:rsidRPr="00AC46DA">
        <w:rPr>
          <w:sz w:val="28"/>
          <w:szCs w:val="28"/>
        </w:rPr>
        <w:t xml:space="preserve"> </w:t>
      </w:r>
    </w:p>
    <w:p w:rsidR="00CA6C45" w:rsidRDefault="00CA6C45" w:rsidP="007E43F1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У 2025</w:t>
      </w:r>
      <w:r>
        <w:rPr>
          <w:rFonts w:ascii="Times New Roman" w:hAnsi="Times New Roman"/>
          <w:sz w:val="28"/>
          <w:szCs w:val="28"/>
          <w:lang w:val="uk-UA"/>
        </w:rPr>
        <w:t xml:space="preserve"> році відбулося </w:t>
      </w:r>
      <w:r>
        <w:rPr>
          <w:rFonts w:ascii="Times New Roman" w:hAnsi="Times New Roman"/>
          <w:bCs/>
          <w:sz w:val="28"/>
          <w:szCs w:val="28"/>
          <w:lang w:val="uk-UA"/>
        </w:rPr>
        <w:t>16 засідань</w:t>
      </w:r>
      <w:r>
        <w:rPr>
          <w:rFonts w:ascii="Times New Roman" w:hAnsi="Times New Roman"/>
          <w:sz w:val="28"/>
          <w:szCs w:val="28"/>
          <w:lang w:val="uk-UA"/>
        </w:rPr>
        <w:t xml:space="preserve"> комісії з питань захисту прав дитини, з яких 12 планових та 4 позачергових засідань на яких розглянуто</w:t>
      </w:r>
      <w:r w:rsidR="0054592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211 питань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7E43F1">
        <w:rPr>
          <w:rFonts w:ascii="Times New Roman" w:hAnsi="Times New Roman"/>
          <w:sz w:val="28"/>
          <w:szCs w:val="28"/>
          <w:lang w:val="uk-UA"/>
        </w:rPr>
        <w:t xml:space="preserve">які стосуються </w:t>
      </w:r>
      <w:r>
        <w:rPr>
          <w:rFonts w:ascii="Times New Roman" w:hAnsi="Times New Roman"/>
          <w:sz w:val="28"/>
          <w:szCs w:val="28"/>
          <w:lang w:val="uk-UA"/>
        </w:rPr>
        <w:t>охорон</w:t>
      </w:r>
      <w:r w:rsidR="007E43F1">
        <w:rPr>
          <w:rFonts w:ascii="Times New Roman" w:hAnsi="Times New Roman"/>
          <w:sz w:val="28"/>
          <w:szCs w:val="28"/>
          <w:lang w:val="uk-UA"/>
        </w:rPr>
        <w:t>и</w:t>
      </w:r>
      <w:r>
        <w:rPr>
          <w:rFonts w:ascii="Times New Roman" w:hAnsi="Times New Roman"/>
          <w:sz w:val="28"/>
          <w:szCs w:val="28"/>
          <w:lang w:val="uk-UA"/>
        </w:rPr>
        <w:t xml:space="preserve"> майнових, житлових прав малолітніх та неповнолітніх</w:t>
      </w:r>
      <w:r w:rsidR="007E43F1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надання статусу дітей-сиріт та дітей, позбавлених батьківського піклування</w:t>
      </w:r>
      <w:r w:rsidR="007E43F1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створення </w:t>
      </w:r>
      <w:r w:rsidR="000B3866">
        <w:rPr>
          <w:rFonts w:ascii="Times New Roman" w:hAnsi="Times New Roman"/>
          <w:bCs/>
          <w:sz w:val="28"/>
          <w:szCs w:val="28"/>
          <w:lang w:val="uk-UA"/>
        </w:rPr>
        <w:t>прийомної сім’ї</w:t>
      </w:r>
      <w:r w:rsidR="007E43F1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виконання обов’язків опікун</w:t>
      </w:r>
      <w:r w:rsidR="007E43F1">
        <w:rPr>
          <w:rFonts w:ascii="Times New Roman" w:hAnsi="Times New Roman"/>
          <w:sz w:val="28"/>
          <w:szCs w:val="28"/>
          <w:lang w:val="uk-UA"/>
        </w:rPr>
        <w:t>ами тощо.</w:t>
      </w:r>
    </w:p>
    <w:p w:rsidR="007E43F1" w:rsidRDefault="007E43F1" w:rsidP="00CA6C45">
      <w:pPr>
        <w:spacing w:line="276" w:lineRule="auto"/>
        <w:ind w:firstLine="360"/>
        <w:jc w:val="center"/>
        <w:rPr>
          <w:b/>
          <w:sz w:val="28"/>
          <w:szCs w:val="28"/>
        </w:rPr>
      </w:pPr>
    </w:p>
    <w:p w:rsidR="00CA6C45" w:rsidRDefault="00CA6C45" w:rsidP="00CA6C45">
      <w:pPr>
        <w:tabs>
          <w:tab w:val="num" w:pos="0"/>
        </w:tabs>
        <w:spacing w:line="276" w:lineRule="auto"/>
        <w:jc w:val="both"/>
        <w:rPr>
          <w:b/>
          <w:noProof/>
          <w:sz w:val="28"/>
          <w:szCs w:val="28"/>
        </w:rPr>
      </w:pPr>
      <w:r>
        <w:rPr>
          <w:color w:val="FF0000"/>
          <w:sz w:val="28"/>
          <w:szCs w:val="28"/>
        </w:rPr>
        <w:tab/>
      </w:r>
      <w:r>
        <w:rPr>
          <w:b/>
          <w:noProof/>
          <w:sz w:val="28"/>
          <w:szCs w:val="28"/>
        </w:rPr>
        <w:t>Облік дітей, які перебувають у складних життєвих обставинах</w:t>
      </w:r>
    </w:p>
    <w:p w:rsidR="00CA6C45" w:rsidRDefault="00CA6C45" w:rsidP="00CA6C45">
      <w:pPr>
        <w:pStyle w:val="a3"/>
        <w:spacing w:after="0" w:line="276" w:lineRule="auto"/>
        <w:jc w:val="center"/>
        <w:rPr>
          <w:b w:val="0"/>
          <w:i/>
          <w:color w:val="FF0000"/>
          <w:sz w:val="24"/>
          <w:szCs w:val="24"/>
        </w:rPr>
      </w:pPr>
      <w:r>
        <w:rPr>
          <w:noProof/>
          <w:color w:val="auto"/>
          <w:sz w:val="28"/>
          <w:szCs w:val="28"/>
        </w:rPr>
        <w:lastRenderedPageBreak/>
        <w:t xml:space="preserve"> за 2021-2025 р.р.</w:t>
      </w:r>
      <w:r>
        <w:rPr>
          <w:noProof/>
          <w:lang w:eastAsia="uk-UA"/>
        </w:rPr>
        <w:drawing>
          <wp:inline distT="0" distB="0" distL="0" distR="0">
            <wp:extent cx="6124575" cy="2257425"/>
            <wp:effectExtent l="0" t="0" r="0" b="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A6C45" w:rsidRDefault="00CA6C45" w:rsidP="00CA6C45">
      <w:pPr>
        <w:pStyle w:val="a3"/>
        <w:spacing w:after="0" w:line="276" w:lineRule="auto"/>
        <w:jc w:val="center"/>
        <w:rPr>
          <w:b w:val="0"/>
          <w:i/>
          <w:color w:val="auto"/>
          <w:sz w:val="24"/>
          <w:szCs w:val="24"/>
        </w:rPr>
      </w:pPr>
      <w:r>
        <w:rPr>
          <w:b w:val="0"/>
          <w:i/>
          <w:color w:val="auto"/>
          <w:sz w:val="24"/>
          <w:szCs w:val="24"/>
        </w:rPr>
        <w:t>Рисунок 4</w:t>
      </w:r>
    </w:p>
    <w:p w:rsidR="00C03A6C" w:rsidRDefault="00C03A6C" w:rsidP="00CA6C45">
      <w:pPr>
        <w:spacing w:line="276" w:lineRule="auto"/>
        <w:ind w:firstLine="567"/>
        <w:jc w:val="both"/>
        <w:rPr>
          <w:sz w:val="28"/>
          <w:szCs w:val="28"/>
        </w:rPr>
      </w:pPr>
    </w:p>
    <w:p w:rsidR="009505F4" w:rsidRDefault="00CA6C45" w:rsidP="00CA6C45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 звітний період взято на облік 177 дітей</w:t>
      </w:r>
      <w:r w:rsidR="009505F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з них: </w:t>
      </w:r>
      <w:bookmarkStart w:id="0" w:name="_GoBack"/>
      <w:bookmarkEnd w:id="0"/>
    </w:p>
    <w:p w:rsidR="009505F4" w:rsidRDefault="00CA6C45" w:rsidP="00CA6C45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125 </w:t>
      </w:r>
      <w:r w:rsidR="009505F4">
        <w:rPr>
          <w:sz w:val="28"/>
          <w:szCs w:val="28"/>
        </w:rPr>
        <w:t>–</w:t>
      </w:r>
      <w:r>
        <w:rPr>
          <w:sz w:val="28"/>
          <w:szCs w:val="28"/>
        </w:rPr>
        <w:t xml:space="preserve"> за підставою стихійного лиха, техногенних аварій, катастроф, воєнних дій чи збройних конфліктів тощо; </w:t>
      </w:r>
    </w:p>
    <w:p w:rsidR="009505F4" w:rsidRDefault="00CA6C45" w:rsidP="00CA6C45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28 – за підставою ухилення батьків або осіб, що їх замінюють від виконання своїх батьківських обов’язків; </w:t>
      </w:r>
    </w:p>
    <w:p w:rsidR="009505F4" w:rsidRDefault="00CA6C45" w:rsidP="00CA6C45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17 – діт</w:t>
      </w:r>
      <w:r w:rsidR="009505F4">
        <w:rPr>
          <w:sz w:val="28"/>
          <w:szCs w:val="28"/>
        </w:rPr>
        <w:t>и</w:t>
      </w:r>
      <w:r>
        <w:rPr>
          <w:sz w:val="28"/>
          <w:szCs w:val="28"/>
        </w:rPr>
        <w:t xml:space="preserve">, які зазнали психологічного насильства; </w:t>
      </w:r>
    </w:p>
    <w:p w:rsidR="009505F4" w:rsidRDefault="00CA6C45" w:rsidP="00CA6C45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 – д</w:t>
      </w:r>
      <w:r w:rsidR="009505F4">
        <w:rPr>
          <w:sz w:val="28"/>
          <w:szCs w:val="28"/>
        </w:rPr>
        <w:t>іти</w:t>
      </w:r>
      <w:r>
        <w:rPr>
          <w:sz w:val="28"/>
          <w:szCs w:val="28"/>
        </w:rPr>
        <w:t xml:space="preserve">, які зазнали фізичного насильства; </w:t>
      </w:r>
    </w:p>
    <w:p w:rsidR="009505F4" w:rsidRDefault="00CA6C45" w:rsidP="00CA6C45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505F4">
        <w:rPr>
          <w:sz w:val="28"/>
          <w:szCs w:val="28"/>
        </w:rPr>
        <w:t>–</w:t>
      </w:r>
      <w:r>
        <w:rPr>
          <w:sz w:val="28"/>
          <w:szCs w:val="28"/>
        </w:rPr>
        <w:t xml:space="preserve"> д</w:t>
      </w:r>
      <w:r w:rsidR="009505F4">
        <w:rPr>
          <w:sz w:val="28"/>
          <w:szCs w:val="28"/>
        </w:rPr>
        <w:t>итина</w:t>
      </w:r>
      <w:r>
        <w:rPr>
          <w:sz w:val="28"/>
          <w:szCs w:val="28"/>
        </w:rPr>
        <w:t xml:space="preserve">, яка зазнала економічного насильства; </w:t>
      </w:r>
    </w:p>
    <w:p w:rsidR="009505F4" w:rsidRDefault="00CA6C45" w:rsidP="00CA6C45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</w:t>
      </w:r>
      <w:r w:rsidR="009505F4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9505F4">
        <w:rPr>
          <w:sz w:val="28"/>
          <w:szCs w:val="28"/>
        </w:rPr>
        <w:t>дитина</w:t>
      </w:r>
      <w:r>
        <w:rPr>
          <w:sz w:val="28"/>
          <w:szCs w:val="28"/>
        </w:rPr>
        <w:t xml:space="preserve">, яка зазнала сексуального насильства. </w:t>
      </w:r>
    </w:p>
    <w:p w:rsidR="009505F4" w:rsidRDefault="009505F4" w:rsidP="00CA6C45">
      <w:pPr>
        <w:spacing w:line="276" w:lineRule="auto"/>
        <w:ind w:firstLine="567"/>
        <w:jc w:val="both"/>
        <w:rPr>
          <w:sz w:val="28"/>
          <w:szCs w:val="28"/>
        </w:rPr>
      </w:pPr>
    </w:p>
    <w:p w:rsidR="00777B43" w:rsidRDefault="00CA6C45" w:rsidP="00CA6C45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Знято з обліку 106 дітей, які перебувають у складних життєвих обставинах</w:t>
      </w:r>
      <w:r w:rsidR="00777B43">
        <w:rPr>
          <w:sz w:val="28"/>
          <w:szCs w:val="28"/>
        </w:rPr>
        <w:t xml:space="preserve">, </w:t>
      </w:r>
      <w:r>
        <w:rPr>
          <w:sz w:val="28"/>
          <w:szCs w:val="28"/>
        </w:rPr>
        <w:t>з них 98 у зв’язк</w:t>
      </w:r>
      <w:r w:rsidR="00777B43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="00777B43">
        <w:rPr>
          <w:sz w:val="28"/>
          <w:szCs w:val="28"/>
        </w:rPr>
        <w:t xml:space="preserve">зі </w:t>
      </w:r>
      <w:r>
        <w:rPr>
          <w:sz w:val="28"/>
          <w:szCs w:val="28"/>
        </w:rPr>
        <w:t xml:space="preserve">зникненням підстав </w:t>
      </w:r>
      <w:r w:rsidR="00777B43">
        <w:rPr>
          <w:sz w:val="28"/>
          <w:szCs w:val="28"/>
        </w:rPr>
        <w:t xml:space="preserve">перебування </w:t>
      </w:r>
      <w:r>
        <w:rPr>
          <w:sz w:val="28"/>
          <w:szCs w:val="28"/>
        </w:rPr>
        <w:t xml:space="preserve"> на облік</w:t>
      </w:r>
      <w:r w:rsidR="00777B43">
        <w:rPr>
          <w:sz w:val="28"/>
          <w:szCs w:val="28"/>
        </w:rPr>
        <w:t>у.</w:t>
      </w:r>
    </w:p>
    <w:p w:rsidR="00CA6C45" w:rsidRDefault="00CA6C45" w:rsidP="00CA6C45">
      <w:pPr>
        <w:spacing w:line="276" w:lineRule="auto"/>
        <w:ind w:firstLine="410"/>
        <w:jc w:val="both"/>
        <w:rPr>
          <w:color w:val="FF0000"/>
          <w:sz w:val="28"/>
          <w:szCs w:val="28"/>
        </w:rPr>
      </w:pPr>
    </w:p>
    <w:sectPr w:rsidR="00CA6C45" w:rsidSect="00921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F039C"/>
    <w:multiLevelType w:val="hybridMultilevel"/>
    <w:tmpl w:val="26C6F218"/>
    <w:lvl w:ilvl="0" w:tplc="107A6A5E">
      <w:start w:val="1"/>
      <w:numFmt w:val="decimal"/>
      <w:lvlText w:val="%1."/>
      <w:lvlJc w:val="left"/>
      <w:pPr>
        <w:ind w:left="-6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43335FF"/>
    <w:multiLevelType w:val="hybridMultilevel"/>
    <w:tmpl w:val="62303B9A"/>
    <w:lvl w:ilvl="0" w:tplc="690205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C45"/>
    <w:rsid w:val="000B3866"/>
    <w:rsid w:val="00244846"/>
    <w:rsid w:val="002F277A"/>
    <w:rsid w:val="003416FF"/>
    <w:rsid w:val="004F2F71"/>
    <w:rsid w:val="0054592E"/>
    <w:rsid w:val="005C14C5"/>
    <w:rsid w:val="005E35B9"/>
    <w:rsid w:val="005E46B9"/>
    <w:rsid w:val="00731328"/>
    <w:rsid w:val="00777B43"/>
    <w:rsid w:val="00797B0D"/>
    <w:rsid w:val="007A53D7"/>
    <w:rsid w:val="007E43F1"/>
    <w:rsid w:val="00821A7C"/>
    <w:rsid w:val="0083286F"/>
    <w:rsid w:val="00921B37"/>
    <w:rsid w:val="009505F4"/>
    <w:rsid w:val="00A50F97"/>
    <w:rsid w:val="00AC46DA"/>
    <w:rsid w:val="00AD319B"/>
    <w:rsid w:val="00AF0485"/>
    <w:rsid w:val="00B4790A"/>
    <w:rsid w:val="00C03A6C"/>
    <w:rsid w:val="00CA6C45"/>
    <w:rsid w:val="00F1509D"/>
    <w:rsid w:val="00F36094"/>
    <w:rsid w:val="00F67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786F8"/>
  <w15:docId w15:val="{E5041199-C614-4DEB-B7FC-1E9D33A2A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6C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rsid w:val="00CA6C45"/>
    <w:pPr>
      <w:spacing w:after="200"/>
    </w:pPr>
    <w:rPr>
      <w:b/>
      <w:bCs/>
      <w:color w:val="4F81BD" w:themeColor="accent1"/>
      <w:sz w:val="18"/>
      <w:szCs w:val="18"/>
    </w:rPr>
  </w:style>
  <w:style w:type="paragraph" w:styleId="a4">
    <w:name w:val="No Spacing"/>
    <w:uiPriority w:val="1"/>
    <w:qFormat/>
    <w:rsid w:val="00CA6C45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99"/>
    <w:qFormat/>
    <w:rsid w:val="00CA6C45"/>
    <w:pPr>
      <w:ind w:left="720"/>
      <w:contextualSpacing/>
    </w:pPr>
  </w:style>
  <w:style w:type="character" w:styleId="a6">
    <w:name w:val="Strong"/>
    <w:basedOn w:val="a0"/>
    <w:uiPriority w:val="22"/>
    <w:qFormat/>
    <w:rsid w:val="00CA6C4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A6C4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6C45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0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1857585139319014E-2"/>
          <c:y val="4.0740449110527883E-2"/>
          <c:w val="0.93814241486068162"/>
          <c:h val="0.848080781568970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дітей</c:v>
                </c:pt>
              </c:strCache>
            </c:strRef>
          </c:tx>
          <c:spPr>
            <a:gradFill>
              <a:gsLst>
                <a:gs pos="0">
                  <a:sysClr val="window" lastClr="FFFFFF"/>
                </a:gs>
                <a:gs pos="50000">
                  <a:srgbClr val="4F81BD">
                    <a:tint val="44500"/>
                    <a:satMod val="160000"/>
                  </a:srgbClr>
                </a:gs>
                <a:gs pos="100000">
                  <a:srgbClr val="4F81BD">
                    <a:tint val="23500"/>
                    <a:satMod val="160000"/>
                  </a:srgbClr>
                </a:gs>
              </a:gsLst>
              <a:lin ang="5400000" scaled="0"/>
            </a:gradFill>
            <a:effectLst>
              <a:innerShdw blurRad="114300">
                <a:prstClr val="black"/>
              </a:innerShdw>
            </a:effectLst>
          </c:spPr>
          <c:invertIfNegative val="0"/>
          <c:dPt>
            <c:idx val="0"/>
            <c:invertIfNegative val="0"/>
            <c:bubble3D val="0"/>
            <c:spPr>
              <a:gradFill>
                <a:gsLst>
                  <a:gs pos="0">
                    <a:srgbClr val="FF0000"/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  <a:ln>
                <a:gradFill>
                  <a:gsLst>
                    <a:gs pos="0">
                      <a:schemeClr val="bg1"/>
                    </a:gs>
                    <a:gs pos="50000">
                      <a:srgbClr val="4F81BD">
                        <a:tint val="44500"/>
                        <a:satMod val="160000"/>
                      </a:srgbClr>
                    </a:gs>
                    <a:gs pos="100000">
                      <a:srgbClr val="4F81BD">
                        <a:tint val="23500"/>
                        <a:satMod val="160000"/>
                      </a:srgbClr>
                    </a:gs>
                  </a:gsLst>
                  <a:lin ang="5400000" scaled="0"/>
                </a:gradFill>
              </a:ln>
              <a:effectLst>
                <a:innerShdw blurRad="114300">
                  <a:prstClr val="black"/>
                </a:innerShdw>
              </a:effectLst>
            </c:spPr>
            <c:extLst>
              <c:ext xmlns:c16="http://schemas.microsoft.com/office/drawing/2014/chart" uri="{C3380CC4-5D6E-409C-BE32-E72D297353CC}">
                <c16:uniqueId val="{00000000-7071-4FAE-BAEE-8450A71E5969}"/>
              </c:ext>
            </c:extLst>
          </c:dPt>
          <c:dPt>
            <c:idx val="1"/>
            <c:invertIfNegative val="0"/>
            <c:bubble3D val="0"/>
            <c:spPr>
              <a:gradFill>
                <a:gsLst>
                  <a:gs pos="0">
                    <a:srgbClr val="FF0000"/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  <a:effectLst>
                <a:innerShdw blurRad="114300">
                  <a:prstClr val="black"/>
                </a:innerShdw>
              </a:effectLst>
            </c:spPr>
            <c:extLst>
              <c:ext xmlns:c16="http://schemas.microsoft.com/office/drawing/2014/chart" uri="{C3380CC4-5D6E-409C-BE32-E72D297353CC}">
                <c16:uniqueId val="{00000001-7071-4FAE-BAEE-8450A71E5969}"/>
              </c:ext>
            </c:extLst>
          </c:dPt>
          <c:dPt>
            <c:idx val="2"/>
            <c:invertIfNegative val="0"/>
            <c:bubble3D val="0"/>
            <c:spPr>
              <a:gradFill>
                <a:gsLst>
                  <a:gs pos="0">
                    <a:srgbClr val="FF0000"/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  <a:effectLst>
                <a:innerShdw blurRad="114300">
                  <a:prstClr val="black"/>
                </a:innerShdw>
              </a:effectLst>
            </c:spPr>
            <c:extLst>
              <c:ext xmlns:c16="http://schemas.microsoft.com/office/drawing/2014/chart" uri="{C3380CC4-5D6E-409C-BE32-E72D297353CC}">
                <c16:uniqueId val="{00000002-7071-4FAE-BAEE-8450A71E5969}"/>
              </c:ext>
            </c:extLst>
          </c:dPt>
          <c:dPt>
            <c:idx val="3"/>
            <c:invertIfNegative val="0"/>
            <c:bubble3D val="0"/>
            <c:spPr>
              <a:gradFill>
                <a:gsLst>
                  <a:gs pos="0">
                    <a:srgbClr val="FF0000"/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  <a:effectLst>
                <a:innerShdw blurRad="114300">
                  <a:prstClr val="black"/>
                </a:innerShdw>
              </a:effectLst>
            </c:spPr>
            <c:extLst>
              <c:ext xmlns:c16="http://schemas.microsoft.com/office/drawing/2014/chart" uri="{C3380CC4-5D6E-409C-BE32-E72D297353CC}">
                <c16:uniqueId val="{00000003-7071-4FAE-BAEE-8450A71E5969}"/>
              </c:ext>
            </c:extLst>
          </c:dPt>
          <c:dPt>
            <c:idx val="4"/>
            <c:invertIfNegative val="0"/>
            <c:bubble3D val="0"/>
            <c:spPr>
              <a:gradFill>
                <a:gsLst>
                  <a:gs pos="0">
                    <a:srgbClr val="FF0000"/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  <a:effectLst>
                <a:innerShdw blurRad="114300">
                  <a:prstClr val="black"/>
                </a:innerShdw>
              </a:effectLst>
            </c:spPr>
            <c:extLst>
              <c:ext xmlns:c16="http://schemas.microsoft.com/office/drawing/2014/chart" uri="{C3380CC4-5D6E-409C-BE32-E72D297353CC}">
                <c16:uniqueId val="{00000004-7071-4FAE-BAEE-8450A71E5969}"/>
              </c:ext>
            </c:extLst>
          </c:dPt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071-4FAE-BAEE-8450A71E5969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071-4FAE-BAEE-8450A71E5969}"/>
                </c:ext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071-4FAE-BAEE-8450A71E5969}"/>
                </c:ext>
              </c:extLst>
            </c:dLbl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071-4FAE-BAEE-8450A71E5969}"/>
                </c:ext>
              </c:extLst>
            </c:dLbl>
            <c:dLbl>
              <c:idx val="4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071-4FAE-BAEE-8450A71E5969}"/>
                </c:ext>
              </c:extLst>
            </c:dLbl>
            <c:dLbl>
              <c:idx val="5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071-4FAE-BAEE-8450A71E5969}"/>
                </c:ext>
              </c:extLst>
            </c:dLbl>
            <c:dLbl>
              <c:idx val="6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7071-4FAE-BAEE-8450A71E5969}"/>
                </c:ext>
              </c:extLst>
            </c:dLbl>
            <c:dLbl>
              <c:idx val="7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071-4FAE-BAEE-8450A71E5969}"/>
                </c:ext>
              </c:extLst>
            </c:dLbl>
            <c:dLbl>
              <c:idx val="8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7071-4FAE-BAEE-8450A71E5969}"/>
                </c:ext>
              </c:extLst>
            </c:dLbl>
            <c:dLbl>
              <c:idx val="9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7071-4FAE-BAEE-8450A71E5969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107</c:v>
                </c:pt>
                <c:pt idx="1">
                  <c:v>105</c:v>
                </c:pt>
                <c:pt idx="2">
                  <c:v>98</c:v>
                </c:pt>
                <c:pt idx="3">
                  <c:v>102</c:v>
                </c:pt>
                <c:pt idx="4">
                  <c:v>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7071-4FAE-BAEE-8450A71E59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5703552"/>
        <c:axId val="135740416"/>
      </c:barChart>
      <c:catAx>
        <c:axId val="135703552"/>
        <c:scaling>
          <c:orientation val="minMax"/>
        </c:scaling>
        <c:delete val="0"/>
        <c:axPos val="b"/>
        <c:minorGridlines>
          <c:spPr>
            <a:ln cmpd="dbl">
              <a:solidFill>
                <a:schemeClr val="bg1"/>
              </a:solidFill>
            </a:ln>
          </c:spPr>
        </c:minorGridlines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uk-UA" sz="900" b="1">
                <a:latin typeface="Times New Roman" pitchFamily="18" charset="0"/>
                <a:cs typeface="Times New Roman" pitchFamily="18" charset="0"/>
              </a:defRPr>
            </a:pPr>
            <a:endParaRPr lang="uk-UA"/>
          </a:p>
        </c:txPr>
        <c:crossAx val="135740416"/>
        <c:crosses val="autoZero"/>
        <c:auto val="1"/>
        <c:lblAlgn val="ctr"/>
        <c:lblOffset val="100"/>
        <c:noMultiLvlLbl val="0"/>
      </c:catAx>
      <c:valAx>
        <c:axId val="1357404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uk-UA" sz="1000">
                <a:latin typeface="Times New Roman" pitchFamily="18" charset="0"/>
                <a:cs typeface="Times New Roman" pitchFamily="18" charset="0"/>
              </a:defRPr>
            </a:pPr>
            <a:endParaRPr lang="uk-UA"/>
          </a:p>
        </c:txPr>
        <c:crossAx val="13570355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solidFill>
        <a:sysClr val="window" lastClr="FFFFFF"/>
      </a:solidFill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explosion val="6"/>
            <c:extLst>
              <c:ext xmlns:c16="http://schemas.microsoft.com/office/drawing/2014/chart" uri="{C3380CC4-5D6E-409C-BE32-E72D297353CC}">
                <c16:uniqueId val="{00000000-98CF-4D92-9E6E-D8F20A83DFEA}"/>
              </c:ext>
            </c:extLst>
          </c:dPt>
          <c:dPt>
            <c:idx val="2"/>
            <c:bubble3D val="0"/>
            <c:explosion val="26"/>
            <c:extLst>
              <c:ext xmlns:c16="http://schemas.microsoft.com/office/drawing/2014/chart" uri="{C3380CC4-5D6E-409C-BE32-E72D297353CC}">
                <c16:uniqueId val="{00000001-98CF-4D92-9E6E-D8F20A83DFEA}"/>
              </c:ext>
            </c:extLst>
          </c:dPt>
          <c:dLbls>
            <c:dLbl>
              <c:idx val="0"/>
              <c:layout>
                <c:manualLayout>
                  <c:x val="-1.718029284495241E-2"/>
                  <c:y val="-0.20666171964106581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 99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8CF-4D92-9E6E-D8F20A83DFEA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8CF-4D92-9E6E-D8F20A83DFEA}"/>
                </c:ext>
              </c:extLst>
            </c:dLbl>
            <c:dLbl>
              <c:idx val="2"/>
              <c:layout>
                <c:manualLayout>
                  <c:x val="3.4652482236364079E-2"/>
                  <c:y val="9.390038420486154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8CF-4D92-9E6E-D8F20A83DFEA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8CF-4D92-9E6E-D8F20A83DFE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ru-RU"/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діти-сироти та діти, позбавлені батьківського піклування, які перебувають на обліку служби у справах дітей </c:v>
                </c:pt>
                <c:pt idx="2">
                  <c:v>діти-сироти та діти, позбавлені батьківського піклування, які  можуть бути усиновлені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102</c:v>
                </c:pt>
                <c:pt idx="2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8CF-4D92-9E6E-D8F20A83DFE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egendEntry>
        <c:idx val="1"/>
        <c:delete val="1"/>
      </c:legendEntry>
      <c:legendEntry>
        <c:idx val="3"/>
        <c:delete val="1"/>
      </c:legendEntry>
      <c:layout>
        <c:manualLayout>
          <c:xMode val="edge"/>
          <c:yMode val="edge"/>
          <c:x val="0.64546899841019689"/>
          <c:y val="0.10491486993445191"/>
          <c:w val="0.33969263381029441"/>
          <c:h val="0.53886135960753601"/>
        </c:manualLayout>
      </c:layout>
      <c:overlay val="0"/>
      <c:txPr>
        <a:bodyPr/>
        <a:lstStyle/>
        <a:p>
          <a:pPr>
            <a:defRPr lang="ru-RU" sz="900">
              <a:latin typeface="Times New Roman" pitchFamily="18" charset="0"/>
              <a:cs typeface="Times New Roman" pitchFamily="18" charset="0"/>
            </a:defRPr>
          </a:pPr>
          <a:endParaRPr lang="uk-UA"/>
        </a:p>
      </c:txPr>
    </c:legend>
    <c:plotVisOnly val="1"/>
    <c:dispBlanksAs val="zero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0"/>
    <c:view3D>
      <c:rotX val="15"/>
      <c:rotY val="20"/>
      <c:rAngAx val="1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>
          <a:outerShdw blurRad="50800" dist="50800" dir="5400000" algn="ctr" rotWithShape="0">
            <a:schemeClr val="tx1"/>
          </a:outerShdw>
        </a:effectLst>
        <a:sp3d/>
      </c:spPr>
    </c:sideWall>
    <c:backWall>
      <c:thickness val="0"/>
      <c:spPr>
        <a:noFill/>
        <a:ln>
          <a:noFill/>
        </a:ln>
        <a:effectLst>
          <a:outerShdw blurRad="50800" dist="50800" dir="5400000" algn="ctr" rotWithShape="0">
            <a:schemeClr val="tx1"/>
          </a:outerShdw>
        </a:effectLst>
        <a:sp3d/>
      </c:spPr>
    </c:backWall>
    <c:plotArea>
      <c:layout>
        <c:manualLayout>
          <c:layoutTarget val="inner"/>
          <c:xMode val="edge"/>
          <c:yMode val="edge"/>
          <c:x val="5.1499267682687165E-2"/>
          <c:y val="4.3283513086113001E-2"/>
          <c:w val="0.63893198950131269"/>
          <c:h val="0.8565313710786152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усиновлення дітей-сиріт та дітей, позбавлених батьківського піклування</c:v>
                </c:pt>
              </c:strCache>
            </c:strRef>
          </c:tx>
          <c:spPr>
            <a:solidFill>
              <a:schemeClr val="dk1">
                <a:tint val="885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5BF-4DE5-A811-0274273B62F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усиновлення одним з подружжя дитини другого з подружжя</c:v>
                </c:pt>
              </c:strCache>
            </c:strRef>
          </c:tx>
          <c:spPr>
            <a:solidFill>
              <a:schemeClr val="dk1">
                <a:tint val="55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1000" b="0" i="0" u="none" strike="noStrike" kern="1200" baseline="0">
                    <a:solidFill>
                      <a:schemeClr val="tx1"/>
                    </a:solidFill>
                    <a:latin typeface="Times New Roman" pitchFamily="18" charset="0"/>
                    <a:ea typeface="+mn-ea"/>
                    <a:cs typeface="Times New Roman" pitchFamily="18" charset="0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3</c:v>
                </c:pt>
                <c:pt idx="1">
                  <c:v>9</c:v>
                </c:pt>
                <c:pt idx="2">
                  <c:v>9</c:v>
                </c:pt>
                <c:pt idx="3">
                  <c:v>15</c:v>
                </c:pt>
                <c:pt idx="4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5BF-4DE5-A811-0274273B62F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pyramid"/>
        <c:axId val="146449920"/>
        <c:axId val="146451456"/>
        <c:axId val="0"/>
      </c:bar3DChart>
      <c:catAx>
        <c:axId val="14644992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700" b="0" i="0" u="none" strike="noStrike" kern="1200" baseline="0">
                <a:solidFill>
                  <a:schemeClr val="tx1"/>
                </a:solidFill>
                <a:latin typeface="Times New Roman" pitchFamily="18" charset="0"/>
                <a:ea typeface="+mn-ea"/>
                <a:cs typeface="Times New Roman" pitchFamily="18" charset="0"/>
              </a:defRPr>
            </a:pPr>
            <a:endParaRPr lang="uk-UA"/>
          </a:p>
        </c:txPr>
        <c:crossAx val="146451456"/>
        <c:crosses val="autoZero"/>
        <c:auto val="1"/>
        <c:lblAlgn val="ctr"/>
        <c:lblOffset val="100"/>
        <c:noMultiLvlLbl val="0"/>
      </c:catAx>
      <c:valAx>
        <c:axId val="146451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tx1"/>
                </a:solidFill>
                <a:latin typeface="Times New Roman" pitchFamily="18" charset="0"/>
                <a:ea typeface="+mn-ea"/>
                <a:cs typeface="Times New Roman" pitchFamily="18" charset="0"/>
              </a:defRPr>
            </a:pPr>
            <a:endParaRPr lang="uk-UA"/>
          </a:p>
        </c:txPr>
        <c:crossAx val="1464499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7851204199475057"/>
          <c:y val="8.9728011797535701E-2"/>
          <c:w val="0.30116411919099023"/>
          <c:h val="0.7956626985914557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1050" b="0" i="0" u="none" strike="noStrike" kern="1200" baseline="0">
              <a:solidFill>
                <a:schemeClr val="tx1"/>
              </a:solidFill>
              <a:latin typeface="Times New Roman" pitchFamily="18" charset="0"/>
              <a:ea typeface="+mn-ea"/>
              <a:cs typeface="Times New Roman" pitchFamily="18" charset="0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дітей 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  <a:effectLst>
              <a:innerShdw blurRad="63500" dist="50800" dir="2700000">
                <a:srgbClr val="FF0000"/>
              </a:inn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uk-UA"/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43</c:v>
                </c:pt>
                <c:pt idx="1">
                  <c:v>18</c:v>
                </c:pt>
                <c:pt idx="2">
                  <c:v>103</c:v>
                </c:pt>
                <c:pt idx="3">
                  <c:v>34</c:v>
                </c:pt>
                <c:pt idx="4">
                  <c:v>104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8EB-4B85-98AA-9296D2D6B3E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сімей</c:v>
                </c:pt>
              </c:strCache>
            </c:strRef>
          </c:tx>
          <c:spPr>
            <a:gradFill>
              <a:gsLst>
                <a:gs pos="0">
                  <a:schemeClr val="accent1"/>
                </a:gs>
                <a:gs pos="50000">
                  <a:srgbClr val="4F81BD">
                    <a:tint val="44500"/>
                    <a:satMod val="160000"/>
                  </a:srgbClr>
                </a:gs>
                <a:gs pos="100000">
                  <a:srgbClr val="4F81BD">
                    <a:tint val="23500"/>
                    <a:satMod val="160000"/>
                  </a:srgbClr>
                </a:gs>
              </a:gsLst>
              <a:lin ang="5400000" scaled="0"/>
            </a:gradFill>
            <a:ln cmpd="sng"/>
            <a:effectLst>
              <a:innerShdw blurRad="114300">
                <a:prstClr val="black"/>
              </a:inn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uk-UA"/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28</c:v>
                </c:pt>
                <c:pt idx="1">
                  <c:v>14</c:v>
                </c:pt>
                <c:pt idx="2">
                  <c:v>75</c:v>
                </c:pt>
                <c:pt idx="3">
                  <c:v>18</c:v>
                </c:pt>
                <c:pt idx="4">
                  <c:v>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8EB-4B85-98AA-9296D2D6B3E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6681856"/>
        <c:axId val="146683392"/>
      </c:barChart>
      <c:catAx>
        <c:axId val="1466818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uk-UA" sz="900">
                <a:latin typeface="Times New Roman" pitchFamily="18" charset="0"/>
                <a:cs typeface="Times New Roman" pitchFamily="18" charset="0"/>
              </a:defRPr>
            </a:pPr>
            <a:endParaRPr lang="uk-UA"/>
          </a:p>
        </c:txPr>
        <c:crossAx val="146683392"/>
        <c:crosses val="autoZero"/>
        <c:auto val="1"/>
        <c:lblAlgn val="ctr"/>
        <c:lblOffset val="100"/>
        <c:noMultiLvlLbl val="0"/>
      </c:catAx>
      <c:valAx>
        <c:axId val="146683392"/>
        <c:scaling>
          <c:orientation val="minMax"/>
        </c:scaling>
        <c:delete val="0"/>
        <c:axPos val="l"/>
        <c:majorGridlines/>
        <c:minorGridlines>
          <c:spPr>
            <a:ln>
              <a:solidFill>
                <a:schemeClr val="bg1">
                  <a:alpha val="37000"/>
                </a:schemeClr>
              </a:solidFill>
            </a:ln>
          </c:spPr>
        </c:minorGridlines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uk-UA">
                <a:latin typeface="Times New Roman" pitchFamily="18" charset="0"/>
                <a:cs typeface="Times New Roman" pitchFamily="18" charset="0"/>
              </a:defRPr>
            </a:pPr>
            <a:endParaRPr lang="uk-UA"/>
          </a:p>
        </c:txPr>
        <c:crossAx val="146681856"/>
        <c:crosses val="autoZero"/>
        <c:crossBetween val="between"/>
      </c:valAx>
      <c:spPr>
        <a:noFill/>
      </c:spPr>
    </c:plotArea>
    <c:legend>
      <c:legendPos val="r"/>
      <c:overlay val="0"/>
      <c:txPr>
        <a:bodyPr/>
        <a:lstStyle/>
        <a:p>
          <a:pPr>
            <a:defRPr lang="uk-UA"/>
          </a:pPr>
          <a:endParaRPr lang="uk-UA"/>
        </a:p>
      </c:txPr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3</Pages>
  <Words>1443</Words>
  <Characters>823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Користувач</cp:lastModifiedBy>
  <cp:revision>7</cp:revision>
  <cp:lastPrinted>2026-02-13T12:44:00Z</cp:lastPrinted>
  <dcterms:created xsi:type="dcterms:W3CDTF">2026-06-11T08:42:00Z</dcterms:created>
  <dcterms:modified xsi:type="dcterms:W3CDTF">2026-06-15T07:51:00Z</dcterms:modified>
</cp:coreProperties>
</file>