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1F6AF5">
        <w:rPr>
          <w:rFonts w:ascii="Times New Roman" w:hAnsi="Times New Roman" w:cs="Times New Roman"/>
          <w:b/>
          <w:sz w:val="28"/>
          <w:szCs w:val="28"/>
        </w:rPr>
        <w:t>березень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F5310" w:rsidRPr="00FF5310" w:rsidRDefault="00FF5310" w:rsidP="00FF53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</w:t>
      </w:r>
    </w:p>
    <w:p w:rsidR="00FF5310" w:rsidRPr="00922734" w:rsidRDefault="00FF5310" w:rsidP="00FF5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00675" cy="2838450"/>
            <wp:effectExtent l="19050" t="0" r="9525" b="0"/>
            <wp:docPr id="1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F5310" w:rsidRDefault="00FF5310" w:rsidP="00FF53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310" w:rsidRPr="00FF5310" w:rsidRDefault="00FF5310" w:rsidP="00FF53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FF5310" w:rsidRDefault="00FF5310" w:rsidP="00FF5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00675" cy="2781300"/>
            <wp:effectExtent l="19050" t="0" r="9525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F5310" w:rsidRDefault="00FF5310" w:rsidP="004C11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FF5310" w:rsidRDefault="00FF5310" w:rsidP="00FF5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38750" cy="2633345"/>
            <wp:effectExtent l="19050" t="0" r="19050" b="0"/>
            <wp:docPr id="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5B09" w:rsidRDefault="00F05B09" w:rsidP="001820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5B09" w:rsidRDefault="00F05B09" w:rsidP="001820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05B09"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182013" w:rsidRDefault="00182013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954" w:rsidRDefault="00D47954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4A">
        <w:rPr>
          <w:rFonts w:ascii="Times New Roman" w:hAnsi="Times New Roman" w:cs="Times New Roman"/>
          <w:b/>
          <w:sz w:val="28"/>
          <w:szCs w:val="28"/>
        </w:rPr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</w:t>
      </w:r>
    </w:p>
    <w:p w:rsidR="00D47954" w:rsidRDefault="00D47954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4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березень</w:t>
      </w:r>
      <w:r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4C11E1" w:rsidRDefault="00D47954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5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30240" cy="2938780"/>
            <wp:effectExtent l="19050" t="0" r="2286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1460A" w:rsidRPr="00BF414A" w:rsidRDefault="00D47954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5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19700" cy="2981325"/>
            <wp:effectExtent l="0" t="0" r="0" b="0"/>
            <wp:docPr id="9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26478" cy="4592034"/>
                      <a:chOff x="2946400" y="386366"/>
                      <a:chExt cx="7226478" cy="4592034"/>
                    </a:xfrm>
                  </a:grpSpPr>
                  <a:grpSp>
                    <a:nvGrpSpPr>
                      <a:cNvPr id="5" name="Группа 4"/>
                      <a:cNvGrpSpPr/>
                    </a:nvGrpSpPr>
                    <a:grpSpPr>
                      <a:xfrm>
                        <a:off x="2946400" y="386366"/>
                        <a:ext cx="7226478" cy="4592034"/>
                        <a:chOff x="2032000" y="719666"/>
                        <a:chExt cx="8142510" cy="5418666"/>
                      </a:xfrm>
                      <a:effectLst>
                        <a:glow rad="228600">
                          <a:schemeClr val="accent4">
                            <a:satMod val="175000"/>
                            <a:alpha val="40000"/>
                          </a:schemeClr>
                        </a:glow>
                      </a:effectLst>
                    </a:grpSpPr>
                    <a:sp>
                      <a:nvSpPr>
                        <a:cNvPr id="6" name="Полилиния 5"/>
                        <a:cNvSpPr/>
                      </a:nvSpPr>
                      <a:spPr>
                        <a:xfrm>
                          <a:off x="5283199" y="719666"/>
                          <a:ext cx="4876800" cy="1693333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lvl="1" indent="-34290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Font typeface="Arial" panose="020B0604020202020204" pitchFamily="34" charset="0"/>
                              <a:buChar char="•"/>
                            </a:pPr>
                            <a:r>
                              <a:rPr lang="ru-RU" sz="2000" dirty="0"/>
                              <a:t>3</a:t>
                            </a:r>
                            <a:r>
                              <a:rPr lang="ru-RU" sz="2000" kern="1200" dirty="0" smtClean="0"/>
                              <a:t> договори </a:t>
                            </a:r>
                            <a:r>
                              <a:rPr lang="ru-RU" sz="2000" kern="1200" dirty="0" err="1" smtClean="0"/>
                              <a:t>оренди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землі</a:t>
                            </a:r>
                            <a:r>
                              <a:rPr lang="ru-RU" sz="2000" kern="1200" dirty="0" smtClean="0"/>
                              <a:t>;</a:t>
                            </a:r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err="1"/>
                              <a:t>п</a:t>
                            </a:r>
                            <a:r>
                              <a:rPr lang="ru-RU" sz="2000" dirty="0" err="1" smtClean="0"/>
                              <a:t>лощею</a:t>
                            </a:r>
                            <a:r>
                              <a:rPr lang="ru-RU" sz="2000" dirty="0" smtClean="0"/>
                              <a:t> 0,0664 га.</a:t>
                            </a:r>
                            <a:endParaRPr lang="ru-RU" sz="2000" kern="1200" dirty="0" smtClean="0"/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smtClean="0"/>
                              <a:t>33 289,85 грн.</a:t>
                            </a:r>
                            <a:endParaRPr lang="ru-RU" sz="2000" kern="1200" dirty="0" smtClean="0"/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endParaRPr lang="ru-RU" sz="2900" kern="1200" dirty="0"/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endParaRPr lang="ru-RU" sz="2900" kern="1200" dirty="0" smtClean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7" name="Полилиния 6"/>
                        <a:cNvSpPr/>
                      </a:nvSpPr>
                      <a:spPr>
                        <a:xfrm>
                          <a:off x="2032000" y="719666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Укладені</a:t>
                            </a:r>
                            <a:r>
                              <a:rPr lang="ru-RU" sz="2600" kern="1200" dirty="0" smtClean="0"/>
                              <a:t> договори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землі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Полилиния 7"/>
                        <a:cNvSpPr/>
                      </a:nvSpPr>
                      <a:spPr>
                        <a:xfrm>
                          <a:off x="5297710" y="2582332"/>
                          <a:ext cx="4876800" cy="1693334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lvl="1" indent="-34290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Font typeface="Arial" panose="020B0604020202020204" pitchFamily="34" charset="0"/>
                              <a:buChar char="•"/>
                            </a:pPr>
                            <a:r>
                              <a:rPr lang="ru-RU" sz="2400" dirty="0"/>
                              <a:t>1</a:t>
                            </a:r>
                            <a:r>
                              <a:rPr lang="ru-RU" sz="2400" kern="1200" dirty="0" smtClean="0"/>
                              <a:t> </a:t>
                            </a:r>
                            <a:r>
                              <a:rPr lang="ru-RU" sz="2400" kern="1200" dirty="0" err="1" smtClean="0"/>
                              <a:t>додаткова</a:t>
                            </a:r>
                            <a:r>
                              <a:rPr lang="ru-RU" sz="2400" kern="1200" dirty="0" smtClean="0"/>
                              <a:t> угода;</a:t>
                            </a:r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400" dirty="0" smtClean="0"/>
                              <a:t>21 404,43 грн.</a:t>
                            </a:r>
                            <a:endParaRPr lang="ru-RU" sz="2400" kern="1200" dirty="0"/>
                          </a:p>
                          <a:p>
                            <a:pPr marL="0" lvl="1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</a:pPr>
                            <a:endParaRPr lang="ru-RU" sz="2900" kern="1200" dirty="0" smtClean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9" name="Полилиния 8"/>
                        <a:cNvSpPr/>
                      </a:nvSpPr>
                      <a:spPr>
                        <a:xfrm>
                          <a:off x="2032000" y="2582332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Укладені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додаткові</a:t>
                            </a:r>
                            <a:r>
                              <a:rPr lang="ru-RU" sz="2600" kern="1200" dirty="0" smtClean="0"/>
                              <a:t> угоди до </a:t>
                            </a:r>
                            <a:r>
                              <a:rPr lang="ru-RU" sz="2600" kern="1200" dirty="0" err="1" smtClean="0"/>
                              <a:t>договорів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землі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-145592"/>
                            <a:satOff val="-15966"/>
                            <a:lumOff val="1634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-145592"/>
                            <a:satOff val="-15966"/>
                            <a:lumOff val="1634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Полилиния 9"/>
                        <a:cNvSpPr/>
                      </a:nvSpPr>
                      <a:spPr>
                        <a:xfrm>
                          <a:off x="5283199" y="4444999"/>
                          <a:ext cx="4876800" cy="1693333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285750" lvl="1" indent="-285750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/>
                              <a:t>4</a:t>
                            </a:r>
                            <a:r>
                              <a:rPr lang="ru-RU" sz="2000" kern="1200" dirty="0" smtClean="0"/>
                              <a:t> договори </a:t>
                            </a:r>
                            <a:r>
                              <a:rPr lang="ru-RU" sz="2000" kern="1200" dirty="0" err="1" smtClean="0"/>
                              <a:t>оренди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землі</a:t>
                            </a:r>
                            <a:r>
                              <a:rPr lang="ru-RU" sz="2000" dirty="0" smtClean="0"/>
                              <a:t>;</a:t>
                            </a:r>
                          </a:p>
                          <a:p>
                            <a:pPr marL="285750" lvl="1" indent="-285750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err="1"/>
                              <a:t>п</a:t>
                            </a:r>
                            <a:r>
                              <a:rPr lang="ru-RU" sz="2000" kern="1200" dirty="0" err="1" smtClean="0"/>
                              <a:t>лощею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dirty="0" smtClean="0"/>
                              <a:t>1,4754</a:t>
                            </a:r>
                            <a:r>
                              <a:rPr lang="ru-RU" sz="2000" kern="1200" dirty="0" smtClean="0"/>
                              <a:t> га</a:t>
                            </a:r>
                          </a:p>
                          <a:p>
                            <a:pPr marL="285750" lvl="1" indent="-285750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smtClean="0"/>
                              <a:t>184 480,03 грн.</a:t>
                            </a:r>
                            <a:endParaRPr lang="ru-RU" sz="2000" kern="1200" dirty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11" name="Полилиния 10"/>
                        <a:cNvSpPr/>
                      </a:nvSpPr>
                      <a:spPr>
                        <a:xfrm>
                          <a:off x="2032000" y="4444999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Залучені</a:t>
                            </a:r>
                            <a:r>
                              <a:rPr lang="ru-RU" sz="2600" kern="1200" dirty="0" smtClean="0"/>
                              <a:t> до оплати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земельні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ділянки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-291184"/>
                            <a:satOff val="-31932"/>
                            <a:lumOff val="3268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-291184"/>
                            <a:satOff val="-31932"/>
                            <a:lumOff val="3268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BF414A" w:rsidRDefault="00BF414A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42D" w:rsidRDefault="0018342D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42D" w:rsidRDefault="0018342D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8350" cy="3238500"/>
            <wp:effectExtent l="19050" t="0" r="1905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7B01" w:rsidRP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53D71" w:rsidRDefault="00F731D0" w:rsidP="00153D71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 рік: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2021рік:</w:t>
      </w:r>
    </w:p>
    <w:p w:rsidR="00D57B01" w:rsidRPr="00D57B01" w:rsidRDefault="00F731D0" w:rsidP="00D57B01">
      <w:pPr>
        <w:tabs>
          <w:tab w:val="left" w:pos="165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44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рішення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з розгл</w:t>
      </w:r>
      <w:r>
        <w:rPr>
          <w:rFonts w:ascii="Times New Roman" w:hAnsi="Times New Roman" w:cs="Times New Roman"/>
          <w:b/>
          <w:sz w:val="26"/>
          <w:szCs w:val="26"/>
        </w:rPr>
        <w:t xml:space="preserve">яду 106 заяв      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sz w:val="26"/>
          <w:szCs w:val="26"/>
        </w:rPr>
        <w:t>30 рішень з розгляду 175 заяв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57B01" w:rsidRPr="009A5340" w:rsidRDefault="00D57B01" w:rsidP="00D57B01">
      <w:pPr>
        <w:tabs>
          <w:tab w:val="left" w:pos="1658"/>
        </w:tabs>
        <w:rPr>
          <w:rFonts w:ascii="Times New Roman" w:hAnsi="Times New Roman" w:cs="Times New Roman"/>
          <w:b/>
          <w:sz w:val="24"/>
          <w:szCs w:val="24"/>
        </w:rPr>
      </w:pPr>
    </w:p>
    <w:p w:rsid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67425" cy="34290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7B01" w:rsidRDefault="00D57B01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9A5340" w:rsidRPr="00D57B01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662F40">
        <w:rPr>
          <w:rFonts w:ascii="Times New Roman" w:hAnsi="Times New Roman" w:cs="Times New Roman"/>
          <w:sz w:val="26"/>
          <w:szCs w:val="26"/>
        </w:rPr>
        <w:t xml:space="preserve"> ЦНАП – 69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2021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ЦНАП –</w:t>
      </w:r>
      <w:r w:rsidR="00B14349"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662F40">
        <w:rPr>
          <w:rFonts w:ascii="Times New Roman" w:hAnsi="Times New Roman" w:cs="Times New Roman"/>
          <w:sz w:val="26"/>
          <w:szCs w:val="26"/>
        </w:rPr>
        <w:t>232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D57B01" w:rsidRPr="00D57B01">
        <w:rPr>
          <w:rFonts w:ascii="Times New Roman" w:hAnsi="Times New Roman" w:cs="Times New Roman"/>
          <w:sz w:val="26"/>
          <w:szCs w:val="26"/>
        </w:rPr>
        <w:t>и</w:t>
      </w:r>
    </w:p>
    <w:p w:rsidR="009A5340" w:rsidRPr="00D57B01" w:rsidRDefault="002B6316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</w:t>
      </w:r>
      <w:r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sz w:val="26"/>
          <w:szCs w:val="26"/>
        </w:rPr>
        <w:t xml:space="preserve">СПД – </w:t>
      </w:r>
      <w:r w:rsidR="00662F40">
        <w:rPr>
          <w:rFonts w:ascii="Times New Roman" w:hAnsi="Times New Roman" w:cs="Times New Roman"/>
          <w:sz w:val="26"/>
          <w:szCs w:val="26"/>
        </w:rPr>
        <w:t>17 заяв (клопотань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 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="009A5340" w:rsidRPr="00D57B01">
        <w:rPr>
          <w:rFonts w:ascii="Times New Roman" w:hAnsi="Times New Roman" w:cs="Times New Roman"/>
          <w:sz w:val="26"/>
          <w:szCs w:val="26"/>
        </w:rPr>
        <w:t>СПД –</w:t>
      </w:r>
      <w:r w:rsidR="00662F40">
        <w:rPr>
          <w:rFonts w:ascii="Times New Roman" w:hAnsi="Times New Roman" w:cs="Times New Roman"/>
          <w:sz w:val="26"/>
          <w:szCs w:val="26"/>
        </w:rPr>
        <w:t xml:space="preserve"> 58  заяв (клопотань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</w:p>
    <w:p w:rsidR="009A5340" w:rsidRPr="00D57B01" w:rsidRDefault="009A5340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="002B6316" w:rsidRPr="00D57B01">
        <w:rPr>
          <w:rFonts w:ascii="Times New Roman" w:hAnsi="Times New Roman" w:cs="Times New Roman"/>
          <w:sz w:val="26"/>
          <w:szCs w:val="26"/>
        </w:rPr>
        <w:t>Громадяни – 10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57B01">
        <w:rPr>
          <w:rFonts w:ascii="Times New Roman" w:hAnsi="Times New Roman" w:cs="Times New Roman"/>
          <w:sz w:val="26"/>
          <w:szCs w:val="26"/>
        </w:rPr>
        <w:t>Громадяни –</w:t>
      </w:r>
      <w:r w:rsidR="00662F40">
        <w:rPr>
          <w:rFonts w:ascii="Times New Roman" w:hAnsi="Times New Roman" w:cs="Times New Roman"/>
          <w:sz w:val="26"/>
          <w:szCs w:val="26"/>
        </w:rPr>
        <w:t xml:space="preserve"> 35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8342D" w:rsidRDefault="0018342D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D57B01" w:rsidRDefault="00D57B01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9A5340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838825" cy="28765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414A" w:rsidRPr="00D57B01" w:rsidRDefault="00C93A8E" w:rsidP="00C93A8E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b/>
          <w:sz w:val="28"/>
          <w:szCs w:val="28"/>
        </w:rPr>
        <w:t>2020 рік:</w:t>
      </w:r>
      <w:r w:rsidR="00662F40">
        <w:rPr>
          <w:rFonts w:ascii="Times New Roman" w:hAnsi="Times New Roman" w:cs="Times New Roman"/>
          <w:b/>
          <w:sz w:val="28"/>
          <w:szCs w:val="28"/>
        </w:rPr>
        <w:t xml:space="preserve"> 37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довідок</w:t>
      </w:r>
      <w:r w:rsidRPr="00D57B01">
        <w:rPr>
          <w:rFonts w:ascii="Times New Roman" w:hAnsi="Times New Roman" w:cs="Times New Roman"/>
          <w:b/>
          <w:sz w:val="28"/>
          <w:szCs w:val="28"/>
        </w:rPr>
        <w:tab/>
        <w:t>2021 рік:</w:t>
      </w:r>
      <w:r w:rsidR="00662F40">
        <w:rPr>
          <w:rFonts w:ascii="Times New Roman" w:hAnsi="Times New Roman" w:cs="Times New Roman"/>
          <w:b/>
          <w:sz w:val="28"/>
          <w:szCs w:val="28"/>
        </w:rPr>
        <w:t xml:space="preserve"> 51</w:t>
      </w:r>
      <w:r w:rsidRPr="00D57B01">
        <w:rPr>
          <w:rFonts w:ascii="Times New Roman" w:hAnsi="Times New Roman" w:cs="Times New Roman"/>
          <w:b/>
          <w:sz w:val="28"/>
          <w:szCs w:val="28"/>
        </w:rPr>
        <w:t xml:space="preserve"> довід</w:t>
      </w:r>
      <w:r w:rsidR="00662F40">
        <w:rPr>
          <w:rFonts w:ascii="Times New Roman" w:hAnsi="Times New Roman" w:cs="Times New Roman"/>
          <w:b/>
          <w:sz w:val="28"/>
          <w:szCs w:val="28"/>
        </w:rPr>
        <w:t>ка</w:t>
      </w:r>
    </w:p>
    <w:p w:rsidR="00EE41B1" w:rsidRDefault="00EE41B1" w:rsidP="00EE41B1">
      <w:pPr>
        <w:pStyle w:val="docdata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Претензійно-позовна робота, яка здійснюється працівниками управління земельних відносин</w:t>
      </w:r>
    </w:p>
    <w:p w:rsidR="00EE41B1" w:rsidRDefault="00EE41B1" w:rsidP="00EE41B1">
      <w:pPr>
        <w:pStyle w:val="a6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>                                 (станом на 01.04.2021 року)</w:t>
      </w:r>
    </w:p>
    <w:p w:rsidR="00EE41B1" w:rsidRDefault="00EE41B1" w:rsidP="00EE41B1">
      <w:pPr>
        <w:pStyle w:val="a6"/>
        <w:spacing w:before="0" w:beforeAutospacing="0" w:after="0" w:afterAutospacing="0"/>
        <w:ind w:firstLine="709"/>
      </w:pPr>
      <w:r>
        <w:t> </w:t>
      </w:r>
    </w:p>
    <w:p w:rsidR="00EE41B1" w:rsidRDefault="00EE41B1" w:rsidP="00EE41B1">
      <w:pPr>
        <w:pStyle w:val="a6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Направлені претензії:</w:t>
      </w:r>
    </w:p>
    <w:p w:rsidR="00EE41B1" w:rsidRDefault="00EE41B1" w:rsidP="00EE41B1">
      <w:pPr>
        <w:pStyle w:val="a6"/>
        <w:spacing w:before="0" w:beforeAutospacing="0" w:after="0" w:afterAutospacing="0"/>
        <w:jc w:val="both"/>
      </w:pPr>
      <w:r>
        <w:t> </w:t>
      </w:r>
    </w:p>
    <w:p w:rsidR="00EE41B1" w:rsidRDefault="00EE41B1" w:rsidP="00EE41B1">
      <w:pPr>
        <w:pStyle w:val="a6"/>
        <w:numPr>
          <w:ilvl w:val="0"/>
          <w:numId w:val="1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Громадська організація «Хокейний клуб «Олімпія» (142 843,74 грн.).</w:t>
      </w:r>
    </w:p>
    <w:p w:rsidR="00EE41B1" w:rsidRDefault="00EE41B1" w:rsidP="00EE41B1">
      <w:pPr>
        <w:pStyle w:val="a6"/>
        <w:numPr>
          <w:ilvl w:val="0"/>
          <w:numId w:val="1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Товариство з обмеженою відповідальністю «ТД КАЛУСЬКИЙ БРОВАР» (698 618,24 грн.).</w:t>
      </w:r>
    </w:p>
    <w:p w:rsidR="00EE41B1" w:rsidRDefault="00EE41B1" w:rsidP="00EE41B1">
      <w:pPr>
        <w:pStyle w:val="a6"/>
        <w:numPr>
          <w:ilvl w:val="0"/>
          <w:numId w:val="1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Приватне підприємство «СОНОТЕКС» (89 409,88 грн.).</w:t>
      </w:r>
    </w:p>
    <w:p w:rsidR="00EE41B1" w:rsidRDefault="00EE41B1" w:rsidP="00EE41B1">
      <w:pPr>
        <w:pStyle w:val="a6"/>
        <w:numPr>
          <w:ilvl w:val="0"/>
          <w:numId w:val="1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Приватний підприємець Мельник Оксана Іванівна (115 096,8 грн.).</w:t>
      </w:r>
    </w:p>
    <w:p w:rsidR="00EE41B1" w:rsidRDefault="00EE41B1" w:rsidP="00EE41B1">
      <w:pPr>
        <w:pStyle w:val="a6"/>
        <w:spacing w:before="0" w:beforeAutospacing="0" w:after="0" w:afterAutospacing="0"/>
        <w:ind w:left="720"/>
        <w:jc w:val="both"/>
      </w:pPr>
      <w:r>
        <w:t>  </w:t>
      </w:r>
    </w:p>
    <w:p w:rsidR="00EE41B1" w:rsidRDefault="00EE41B1" w:rsidP="00EE41B1">
      <w:pPr>
        <w:pStyle w:val="a6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Подані позовні заяви про стягнення безпідставно збережених коштів за користування земельними ділянками комунальної власності:</w:t>
      </w:r>
    </w:p>
    <w:p w:rsidR="00EE41B1" w:rsidRDefault="00EE41B1" w:rsidP="00EE41B1">
      <w:pPr>
        <w:pStyle w:val="a6"/>
        <w:spacing w:before="0" w:beforeAutospacing="0" w:after="0" w:afterAutospacing="0"/>
        <w:jc w:val="both"/>
      </w:pPr>
      <w:r>
        <w:t> </w:t>
      </w:r>
    </w:p>
    <w:p w:rsidR="00EE41B1" w:rsidRDefault="00EE41B1" w:rsidP="00EE41B1">
      <w:pPr>
        <w:pStyle w:val="a6"/>
        <w:numPr>
          <w:ilvl w:val="0"/>
          <w:numId w:val="2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Товариство з обмеженою відповідальністю «</w:t>
      </w:r>
      <w:proofErr w:type="spellStart"/>
      <w:r>
        <w:rPr>
          <w:color w:val="000000"/>
          <w:sz w:val="28"/>
          <w:szCs w:val="28"/>
        </w:rPr>
        <w:t>БАЛТІК</w:t>
      </w:r>
      <w:proofErr w:type="spellEnd"/>
      <w:r>
        <w:rPr>
          <w:color w:val="000000"/>
          <w:sz w:val="28"/>
          <w:szCs w:val="28"/>
        </w:rPr>
        <w:t xml:space="preserve"> ГРУПП» (635 244,51 грн.).</w:t>
      </w:r>
    </w:p>
    <w:p w:rsidR="00EE41B1" w:rsidRDefault="00EE41B1" w:rsidP="00EE41B1">
      <w:pPr>
        <w:pStyle w:val="a6"/>
        <w:numPr>
          <w:ilvl w:val="0"/>
          <w:numId w:val="2"/>
        </w:numPr>
        <w:tabs>
          <w:tab w:val="clear" w:pos="720"/>
          <w:tab w:val="left" w:pos="0"/>
          <w:tab w:val="left" w:pos="4253"/>
        </w:tabs>
        <w:spacing w:before="0" w:beforeAutospacing="0" w:after="0" w:afterAutospacing="0"/>
        <w:ind w:left="1440"/>
      </w:pPr>
      <w:proofErr w:type="spellStart"/>
      <w:r>
        <w:rPr>
          <w:color w:val="000000"/>
          <w:sz w:val="28"/>
          <w:szCs w:val="28"/>
        </w:rPr>
        <w:t>Маркелов</w:t>
      </w:r>
      <w:proofErr w:type="spellEnd"/>
      <w:r>
        <w:rPr>
          <w:color w:val="000000"/>
          <w:sz w:val="28"/>
          <w:szCs w:val="28"/>
        </w:rPr>
        <w:t xml:space="preserve"> Володимир Павлович (199 686,26 грн.).</w:t>
      </w:r>
    </w:p>
    <w:p w:rsidR="00EE41B1" w:rsidRDefault="00EE41B1" w:rsidP="00EE41B1">
      <w:pPr>
        <w:pStyle w:val="a6"/>
        <w:spacing w:before="0" w:beforeAutospacing="0" w:after="0" w:afterAutospacing="0"/>
        <w:ind w:left="252" w:right="278"/>
      </w:pPr>
      <w:r>
        <w:t> </w:t>
      </w:r>
    </w:p>
    <w:p w:rsidR="00BE3A53" w:rsidRDefault="00FD1345" w:rsidP="00FD1345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BE3A53">
        <w:rPr>
          <w:rFonts w:ascii="Times New Roman" w:hAnsi="Times New Roman" w:cs="Times New Roman"/>
          <w:sz w:val="27"/>
          <w:szCs w:val="27"/>
        </w:rPr>
        <w:t xml:space="preserve"> Окрім цього,</w:t>
      </w:r>
      <w:r w:rsidR="00BE3A53">
        <w:rPr>
          <w:rFonts w:ascii="Times New Roman" w:hAnsi="Times New Roman" w:cs="Times New Roman"/>
          <w:sz w:val="27"/>
          <w:szCs w:val="27"/>
        </w:rPr>
        <w:t xml:space="preserve"> </w:t>
      </w:r>
      <w:r w:rsidRPr="00BE3A53">
        <w:rPr>
          <w:rFonts w:ascii="Times New Roman" w:hAnsi="Times New Roman" w:cs="Times New Roman"/>
          <w:sz w:val="27"/>
          <w:szCs w:val="27"/>
        </w:rPr>
        <w:t>протягом березня місяця</w:t>
      </w:r>
      <w:r w:rsidRPr="00BE3A53">
        <w:rPr>
          <w:sz w:val="27"/>
          <w:szCs w:val="27"/>
        </w:rPr>
        <w:t xml:space="preserve"> </w:t>
      </w:r>
      <w:r w:rsidR="00EE41B1" w:rsidRPr="00BE3A53">
        <w:rPr>
          <w:sz w:val="27"/>
          <w:szCs w:val="27"/>
        </w:rPr>
        <w:t> </w:t>
      </w:r>
      <w:r w:rsidRPr="00BE3A53">
        <w:rPr>
          <w:rFonts w:ascii="Times New Roman" w:hAnsi="Times New Roman"/>
          <w:sz w:val="27"/>
          <w:szCs w:val="27"/>
        </w:rPr>
        <w:t>комісією по здійсненню самоврядного контролю за використанням та охороню земель Калуської міської територіальної громади</w:t>
      </w:r>
      <w:r w:rsidR="00FB5340">
        <w:rPr>
          <w:rFonts w:ascii="Times New Roman" w:hAnsi="Times New Roman"/>
          <w:sz w:val="27"/>
          <w:szCs w:val="27"/>
        </w:rPr>
        <w:t>,</w:t>
      </w:r>
      <w:r w:rsidRPr="00BE3A53">
        <w:rPr>
          <w:rFonts w:ascii="Times New Roman" w:hAnsi="Times New Roman"/>
          <w:sz w:val="27"/>
          <w:szCs w:val="27"/>
        </w:rPr>
        <w:t xml:space="preserve"> під головуванням першого заступника міського голови Мирослава Тихого</w:t>
      </w:r>
      <w:r w:rsidR="00FB5340">
        <w:rPr>
          <w:rFonts w:ascii="Times New Roman" w:hAnsi="Times New Roman"/>
          <w:sz w:val="27"/>
          <w:szCs w:val="27"/>
        </w:rPr>
        <w:t>,</w:t>
      </w:r>
      <w:r w:rsidRPr="00BE3A53">
        <w:rPr>
          <w:rFonts w:ascii="Times New Roman" w:hAnsi="Times New Roman" w:cs="Times New Roman"/>
          <w:sz w:val="27"/>
          <w:szCs w:val="27"/>
        </w:rPr>
        <w:t xml:space="preserve"> відповідно до заяв суб’єктів господарської діяльності та звернень громадян було обстежено ряд земельних ділянок комунальної власності, а саме: </w:t>
      </w:r>
    </w:p>
    <w:p w:rsidR="00FD1345" w:rsidRDefault="00BE3A53" w:rsidP="00FD1345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на території міста Калуша було обстежено земельні ділянки </w:t>
      </w:r>
      <w:r w:rsidR="00FD1345" w:rsidRPr="00BE3A53">
        <w:rPr>
          <w:rFonts w:ascii="Times New Roman" w:hAnsi="Times New Roman" w:cs="Times New Roman"/>
          <w:sz w:val="27"/>
          <w:szCs w:val="27"/>
        </w:rPr>
        <w:t>на</w:t>
      </w:r>
      <w:r w:rsidR="00A97236">
        <w:rPr>
          <w:rFonts w:ascii="Times New Roman" w:hAnsi="Times New Roman" w:cs="Times New Roman"/>
          <w:sz w:val="27"/>
          <w:szCs w:val="27"/>
        </w:rPr>
        <w:t xml:space="preserve"> вул.</w:t>
      </w:r>
      <w:r w:rsidR="00FD1345" w:rsidRPr="00BE3A53">
        <w:rPr>
          <w:rFonts w:ascii="Times New Roman" w:hAnsi="Times New Roman" w:cs="Times New Roman"/>
          <w:sz w:val="27"/>
          <w:szCs w:val="27"/>
        </w:rPr>
        <w:t xml:space="preserve"> Кульчицької, 23</w:t>
      </w:r>
      <w:r>
        <w:rPr>
          <w:rFonts w:ascii="Times New Roman" w:hAnsi="Times New Roman" w:cs="Times New Roman"/>
          <w:sz w:val="27"/>
          <w:szCs w:val="27"/>
        </w:rPr>
        <w:t>,</w:t>
      </w:r>
      <w:r w:rsidR="00FD1345" w:rsidRPr="00BE3A53">
        <w:rPr>
          <w:rFonts w:ascii="Times New Roman" w:hAnsi="Times New Roman" w:cs="Times New Roman"/>
          <w:sz w:val="27"/>
          <w:szCs w:val="27"/>
        </w:rPr>
        <w:t xml:space="preserve"> на вул. Кульчицької, 37, на вул. Врубеля, 22А, </w:t>
      </w:r>
      <w:r>
        <w:rPr>
          <w:rFonts w:ascii="Times New Roman" w:hAnsi="Times New Roman" w:cs="Times New Roman"/>
          <w:sz w:val="27"/>
          <w:szCs w:val="27"/>
        </w:rPr>
        <w:t>в районі</w:t>
      </w:r>
      <w:r w:rsidR="00FD1345" w:rsidRPr="00BE3A53">
        <w:rPr>
          <w:rFonts w:ascii="Times New Roman" w:hAnsi="Times New Roman" w:cs="Times New Roman"/>
          <w:sz w:val="27"/>
          <w:szCs w:val="27"/>
        </w:rPr>
        <w:t xml:space="preserve"> вул. Б. Хмельницького,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FD1345" w:rsidRPr="00BE3A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районі вул.</w:t>
      </w:r>
      <w:r w:rsidR="00FD1345" w:rsidRPr="00BE3A53">
        <w:rPr>
          <w:rFonts w:ascii="Times New Roman" w:hAnsi="Times New Roman" w:cs="Times New Roman"/>
          <w:sz w:val="27"/>
          <w:szCs w:val="27"/>
        </w:rPr>
        <w:t xml:space="preserve"> Малицької, </w:t>
      </w:r>
      <w:r>
        <w:rPr>
          <w:rFonts w:ascii="Times New Roman" w:hAnsi="Times New Roman" w:cs="Times New Roman"/>
          <w:sz w:val="27"/>
          <w:szCs w:val="27"/>
        </w:rPr>
        <w:t xml:space="preserve">на вул. </w:t>
      </w:r>
      <w:r w:rsidR="00FD1345" w:rsidRPr="00BE3A53">
        <w:rPr>
          <w:rFonts w:ascii="Times New Roman" w:hAnsi="Times New Roman" w:cs="Times New Roman"/>
          <w:sz w:val="27"/>
          <w:szCs w:val="27"/>
        </w:rPr>
        <w:t>Будівельників,</w:t>
      </w:r>
      <w:r>
        <w:rPr>
          <w:rFonts w:ascii="Times New Roman" w:hAnsi="Times New Roman" w:cs="Times New Roman"/>
          <w:sz w:val="27"/>
          <w:szCs w:val="27"/>
        </w:rPr>
        <w:t xml:space="preserve"> 15,</w:t>
      </w:r>
      <w:r w:rsidR="00FB5340">
        <w:rPr>
          <w:rFonts w:ascii="Times New Roman" w:hAnsi="Times New Roman" w:cs="Times New Roman"/>
          <w:sz w:val="27"/>
          <w:szCs w:val="27"/>
        </w:rPr>
        <w:t xml:space="preserve"> С.</w:t>
      </w:r>
      <w:r w:rsidR="00FD1345" w:rsidRPr="00BE3A53">
        <w:rPr>
          <w:rFonts w:ascii="Times New Roman" w:hAnsi="Times New Roman" w:cs="Times New Roman"/>
          <w:sz w:val="27"/>
          <w:szCs w:val="27"/>
        </w:rPr>
        <w:t>Стрільців</w:t>
      </w:r>
      <w:r w:rsidR="00FB534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32,</w:t>
      </w:r>
      <w:r w:rsidR="00FB5340">
        <w:rPr>
          <w:rFonts w:ascii="Times New Roman" w:hAnsi="Times New Roman" w:cs="Times New Roman"/>
          <w:sz w:val="27"/>
          <w:szCs w:val="27"/>
        </w:rPr>
        <w:t xml:space="preserve"> на вул. </w:t>
      </w:r>
      <w:r>
        <w:rPr>
          <w:rFonts w:ascii="Times New Roman" w:hAnsi="Times New Roman" w:cs="Times New Roman"/>
          <w:sz w:val="27"/>
          <w:szCs w:val="27"/>
        </w:rPr>
        <w:t xml:space="preserve"> Б.</w:t>
      </w:r>
      <w:r w:rsidR="00FD1345" w:rsidRPr="00BE3A53">
        <w:rPr>
          <w:rFonts w:ascii="Times New Roman" w:hAnsi="Times New Roman" w:cs="Times New Roman"/>
          <w:sz w:val="27"/>
          <w:szCs w:val="27"/>
        </w:rPr>
        <w:t xml:space="preserve"> Хмельницького</w:t>
      </w:r>
      <w:r>
        <w:rPr>
          <w:rFonts w:ascii="Times New Roman" w:hAnsi="Times New Roman" w:cs="Times New Roman"/>
          <w:sz w:val="27"/>
          <w:szCs w:val="27"/>
        </w:rPr>
        <w:t xml:space="preserve">, 84  та </w:t>
      </w:r>
      <w:r w:rsidR="00FB5340">
        <w:rPr>
          <w:rFonts w:ascii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hAnsi="Times New Roman" w:cs="Times New Roman"/>
          <w:sz w:val="27"/>
          <w:szCs w:val="27"/>
        </w:rPr>
        <w:t>вул. Височана, 2а;</w:t>
      </w:r>
    </w:p>
    <w:p w:rsidR="00BE3A53" w:rsidRDefault="00BE3A53" w:rsidP="00BE3A53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BE3A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 території</w:t>
      </w:r>
      <w:r w:rsidRPr="00BE3A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села Копанки було обстежено земельні ділянки в районі вулиці</w:t>
      </w:r>
      <w:r w:rsidRPr="00BE3A53">
        <w:rPr>
          <w:rFonts w:ascii="Times New Roman" w:hAnsi="Times New Roman" w:cs="Times New Roman"/>
          <w:sz w:val="27"/>
          <w:szCs w:val="27"/>
        </w:rPr>
        <w:t xml:space="preserve"> Івасюка</w:t>
      </w:r>
      <w:r>
        <w:rPr>
          <w:rFonts w:ascii="Times New Roman" w:hAnsi="Times New Roman" w:cs="Times New Roman"/>
          <w:sz w:val="27"/>
          <w:szCs w:val="27"/>
        </w:rPr>
        <w:t>, на</w:t>
      </w:r>
      <w:r w:rsidRPr="00BE3A53">
        <w:rPr>
          <w:rFonts w:ascii="Times New Roman" w:hAnsi="Times New Roman" w:cs="Times New Roman"/>
          <w:sz w:val="27"/>
          <w:szCs w:val="27"/>
        </w:rPr>
        <w:t xml:space="preserve"> вул. Молодіжна,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B5340">
        <w:rPr>
          <w:rFonts w:ascii="Times New Roman" w:hAnsi="Times New Roman" w:cs="Times New Roman"/>
          <w:sz w:val="27"/>
          <w:szCs w:val="27"/>
        </w:rPr>
        <w:t xml:space="preserve">3 </w:t>
      </w:r>
      <w:r>
        <w:rPr>
          <w:rFonts w:ascii="Times New Roman" w:hAnsi="Times New Roman" w:cs="Times New Roman"/>
          <w:sz w:val="27"/>
          <w:szCs w:val="27"/>
        </w:rPr>
        <w:t>та на вул. С. Бандери, 31.</w:t>
      </w:r>
    </w:p>
    <w:p w:rsidR="00A97236" w:rsidRDefault="00A97236" w:rsidP="00BE3A53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7236" w:rsidRDefault="00A97236" w:rsidP="00BE3A53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7236" w:rsidRDefault="00A97236" w:rsidP="00BE3A53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7236" w:rsidRPr="00BE3A53" w:rsidRDefault="00A97236" w:rsidP="00BE3A53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E3A53" w:rsidRPr="00BE3A53" w:rsidRDefault="00FD1345" w:rsidP="00FD13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3A53">
        <w:rPr>
          <w:rFonts w:ascii="Times New Roman" w:hAnsi="Times New Roman" w:cs="Times New Roman"/>
          <w:sz w:val="27"/>
          <w:szCs w:val="27"/>
        </w:rPr>
        <w:t xml:space="preserve">            За результатами обстеження вказаних вище земельних ділянок складено 12 актів обстеження земельних ділянок та направлено </w:t>
      </w:r>
      <w:r w:rsidR="00BE3A53" w:rsidRPr="00BE3A53">
        <w:rPr>
          <w:rFonts w:ascii="Times New Roman" w:hAnsi="Times New Roman" w:cs="Times New Roman"/>
          <w:sz w:val="27"/>
          <w:szCs w:val="27"/>
        </w:rPr>
        <w:t>клопотання</w:t>
      </w:r>
      <w:r w:rsidRPr="00BE3A53">
        <w:rPr>
          <w:rFonts w:ascii="Times New Roman" w:hAnsi="Times New Roman" w:cs="Times New Roman"/>
          <w:sz w:val="27"/>
          <w:szCs w:val="27"/>
        </w:rPr>
        <w:t xml:space="preserve"> про </w:t>
      </w:r>
      <w:r w:rsidR="00BE3A53" w:rsidRPr="00BE3A53">
        <w:rPr>
          <w:rFonts w:ascii="Times New Roman" w:hAnsi="Times New Roman" w:cs="Times New Roman"/>
          <w:sz w:val="27"/>
          <w:szCs w:val="27"/>
        </w:rPr>
        <w:t>усунення виявлених комісією порушень земельного законодавства.</w:t>
      </w:r>
    </w:p>
    <w:p w:rsidR="00FD1345" w:rsidRPr="00BE3A53" w:rsidRDefault="00BE3A53" w:rsidP="00FD13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3A53">
        <w:rPr>
          <w:rFonts w:ascii="Times New Roman" w:hAnsi="Times New Roman" w:cs="Times New Roman"/>
          <w:sz w:val="27"/>
          <w:szCs w:val="27"/>
        </w:rPr>
        <w:t xml:space="preserve">           Разом з тим, направлено </w:t>
      </w:r>
      <w:r w:rsidR="00A97236">
        <w:rPr>
          <w:rFonts w:ascii="Times New Roman" w:hAnsi="Times New Roman" w:cs="Times New Roman"/>
          <w:sz w:val="27"/>
          <w:szCs w:val="27"/>
        </w:rPr>
        <w:t>листи</w:t>
      </w:r>
      <w:r w:rsidRPr="00BE3A53">
        <w:rPr>
          <w:rFonts w:ascii="Times New Roman" w:hAnsi="Times New Roman" w:cs="Times New Roman"/>
          <w:sz w:val="27"/>
          <w:szCs w:val="27"/>
        </w:rPr>
        <w:t xml:space="preserve"> до Головного управління Держгеокадастру в Івано-Франківській </w:t>
      </w:r>
      <w:r w:rsidR="00FB5340">
        <w:rPr>
          <w:rFonts w:ascii="Times New Roman" w:hAnsi="Times New Roman" w:cs="Times New Roman"/>
          <w:sz w:val="27"/>
          <w:szCs w:val="27"/>
        </w:rPr>
        <w:t xml:space="preserve">області </w:t>
      </w:r>
      <w:r w:rsidRPr="00BE3A53">
        <w:rPr>
          <w:rFonts w:ascii="Times New Roman" w:hAnsi="Times New Roman" w:cs="Times New Roman"/>
          <w:sz w:val="27"/>
          <w:szCs w:val="27"/>
        </w:rPr>
        <w:t xml:space="preserve">щодо </w:t>
      </w:r>
      <w:r w:rsidRPr="00BE3A53">
        <w:rPr>
          <w:rFonts w:ascii="Times New Roman" w:hAnsi="Times New Roman"/>
          <w:sz w:val="27"/>
          <w:szCs w:val="27"/>
        </w:rPr>
        <w:t>здійснення перевірки дотримання вимог земельного законодавства при використанні земельних ділянок комунальної власності.</w:t>
      </w:r>
    </w:p>
    <w:p w:rsidR="00EE41B1" w:rsidRPr="00BE3A53" w:rsidRDefault="00EE41B1" w:rsidP="00FD1345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</w:p>
    <w:p w:rsidR="00EE41B1" w:rsidRPr="00BE3A53" w:rsidRDefault="00EE41B1" w:rsidP="00EE41B1">
      <w:pPr>
        <w:pStyle w:val="a6"/>
        <w:spacing w:before="0" w:beforeAutospacing="0" w:after="0" w:afterAutospacing="0"/>
        <w:ind w:left="720"/>
        <w:jc w:val="both"/>
        <w:rPr>
          <w:sz w:val="27"/>
          <w:szCs w:val="27"/>
        </w:rPr>
      </w:pPr>
      <w:r w:rsidRPr="00BE3A53">
        <w:rPr>
          <w:sz w:val="27"/>
          <w:szCs w:val="27"/>
        </w:rPr>
        <w:t> </w:t>
      </w:r>
    </w:p>
    <w:p w:rsidR="00EE41B1" w:rsidRDefault="00EE41B1" w:rsidP="00EE41B1">
      <w:pPr>
        <w:pStyle w:val="a6"/>
        <w:spacing w:before="0" w:beforeAutospacing="0" w:after="0" w:afterAutospacing="0"/>
        <w:ind w:left="720"/>
        <w:jc w:val="both"/>
      </w:pPr>
      <w:r>
        <w:t> </w:t>
      </w:r>
    </w:p>
    <w:p w:rsidR="00EE41B1" w:rsidRDefault="00EE41B1" w:rsidP="00EE41B1">
      <w:pPr>
        <w:pStyle w:val="a6"/>
        <w:spacing w:before="0" w:beforeAutospacing="0" w:after="0" w:afterAutospacing="0"/>
        <w:ind w:left="720"/>
        <w:jc w:val="both"/>
      </w:pPr>
      <w:r>
        <w:t> </w:t>
      </w:r>
    </w:p>
    <w:p w:rsidR="00EE41B1" w:rsidRDefault="00EE41B1" w:rsidP="00EE41B1">
      <w:pPr>
        <w:pStyle w:val="a6"/>
        <w:spacing w:before="0" w:beforeAutospacing="0" w:after="0" w:afterAutospacing="0"/>
        <w:ind w:left="720"/>
        <w:jc w:val="both"/>
      </w:pPr>
      <w:r>
        <w:t> </w:t>
      </w: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sectPr w:rsidR="00BF414A" w:rsidSect="00D47954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80B7E"/>
    <w:multiLevelType w:val="multilevel"/>
    <w:tmpl w:val="A7B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106D4"/>
    <w:multiLevelType w:val="multilevel"/>
    <w:tmpl w:val="5A4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414A"/>
    <w:rsid w:val="00061631"/>
    <w:rsid w:val="000C5B43"/>
    <w:rsid w:val="00153D71"/>
    <w:rsid w:val="00154C13"/>
    <w:rsid w:val="00182013"/>
    <w:rsid w:val="0018342D"/>
    <w:rsid w:val="001836A0"/>
    <w:rsid w:val="001C670E"/>
    <w:rsid w:val="001F6AF5"/>
    <w:rsid w:val="00212740"/>
    <w:rsid w:val="00252136"/>
    <w:rsid w:val="002B6316"/>
    <w:rsid w:val="00313C0A"/>
    <w:rsid w:val="00427D02"/>
    <w:rsid w:val="004B018C"/>
    <w:rsid w:val="004C11E1"/>
    <w:rsid w:val="005A604E"/>
    <w:rsid w:val="005B2985"/>
    <w:rsid w:val="00662F40"/>
    <w:rsid w:val="00663A34"/>
    <w:rsid w:val="00734183"/>
    <w:rsid w:val="008E24A5"/>
    <w:rsid w:val="009A5340"/>
    <w:rsid w:val="009C5976"/>
    <w:rsid w:val="00A059B7"/>
    <w:rsid w:val="00A85F38"/>
    <w:rsid w:val="00A97236"/>
    <w:rsid w:val="00B14349"/>
    <w:rsid w:val="00B215F5"/>
    <w:rsid w:val="00B47109"/>
    <w:rsid w:val="00B53833"/>
    <w:rsid w:val="00B6694D"/>
    <w:rsid w:val="00BB7D14"/>
    <w:rsid w:val="00BD13C0"/>
    <w:rsid w:val="00BE3A53"/>
    <w:rsid w:val="00BF414A"/>
    <w:rsid w:val="00C12E84"/>
    <w:rsid w:val="00C1460A"/>
    <w:rsid w:val="00C93A8E"/>
    <w:rsid w:val="00CD551C"/>
    <w:rsid w:val="00D01F57"/>
    <w:rsid w:val="00D1302E"/>
    <w:rsid w:val="00D47954"/>
    <w:rsid w:val="00D57B01"/>
    <w:rsid w:val="00E64AFE"/>
    <w:rsid w:val="00EE41B1"/>
    <w:rsid w:val="00F05B09"/>
    <w:rsid w:val="00F15348"/>
    <w:rsid w:val="00F17CEC"/>
    <w:rsid w:val="00F479BA"/>
    <w:rsid w:val="00F731D0"/>
    <w:rsid w:val="00FB5340"/>
    <w:rsid w:val="00FC15E7"/>
    <w:rsid w:val="00FD1345"/>
    <w:rsid w:val="00FF5310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  <w:style w:type="paragraph" w:customStyle="1" w:styleId="docdata">
    <w:name w:val="docdata"/>
    <w:aliases w:val="docy,v5,18647,baiaagaaboqcaaadhz0aaauxrqaaaaaaaaaaaaaaaaaaaaaaaaaaaaaaaaaaaaaaaaaaaaaaaaaaaaaaaaaaaaaaaaaaaaaaaaaaaaaaaaaaaaaaaaaaaaaaaaaaaaaaaaaaaaaaaaaaaaaaaaaaaaaaaaaaaaaaaaaaaaaaaaaaaaaaaaaaaaaaaaaaaaaaaaaaaaaaaaaaaaaaaaaaaaaaaaaaaaaaaaaaaaa"/>
    <w:basedOn w:val="a"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b="1"/>
              <a:t>Без розтермінування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три місяці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436049.48000000021</c:v>
                </c:pt>
                <c:pt idx="1">
                  <c:v>491330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0.88750000000000051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91199744"/>
        <c:axId val="101064704"/>
        <c:axId val="0"/>
      </c:bar3DChart>
      <c:catAx>
        <c:axId val="911997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1064704"/>
        <c:crosses val="autoZero"/>
        <c:auto val="1"/>
        <c:lblAlgn val="ctr"/>
        <c:lblOffset val="100"/>
      </c:catAx>
      <c:valAx>
        <c:axId val="101064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119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b="1"/>
              <a:t>З розтермінуванням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три місяці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3544727.88</c:v>
                </c:pt>
                <c:pt idx="1">
                  <c:v>1618060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2.1909999999999998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101173504"/>
        <c:axId val="101180544"/>
        <c:axId val="0"/>
      </c:bar3DChart>
      <c:catAx>
        <c:axId val="1011735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1180544"/>
        <c:crosses val="autoZero"/>
        <c:auto val="1"/>
        <c:lblAlgn val="ctr"/>
        <c:lblOffset val="100"/>
      </c:catAx>
      <c:valAx>
        <c:axId val="1011805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117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b="1"/>
              <a:t>Сукупна інформація по продажах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три місяці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3980777.36</c:v>
                </c:pt>
                <c:pt idx="1">
                  <c:v>2109390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1.8872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119335552"/>
        <c:axId val="129474944"/>
        <c:axId val="0"/>
      </c:bar3DChart>
      <c:catAx>
        <c:axId val="119335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9474944"/>
        <c:crosses val="autoZero"/>
        <c:auto val="1"/>
        <c:lblAlgn val="ctr"/>
        <c:lblOffset val="100"/>
      </c:catAx>
      <c:valAx>
        <c:axId val="129474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9335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Графік</a:t>
            </a:r>
            <a:r>
              <a:rPr lang="ru-RU" b="1" baseline="0"/>
              <a:t> виконання прогнозу по продажах на 2021 рік</a:t>
            </a:r>
            <a:endParaRPr lang="ru-RU" b="1"/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Прогноз, 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750000</c:v>
                </c:pt>
                <c:pt idx="1">
                  <c:v>1500000</c:v>
                </c:pt>
                <c:pt idx="2">
                  <c:v>2250000</c:v>
                </c:pt>
                <c:pt idx="3">
                  <c:v>3000000</c:v>
                </c:pt>
                <c:pt idx="4">
                  <c:v>3750000</c:v>
                </c:pt>
                <c:pt idx="5">
                  <c:v>4500000</c:v>
                </c:pt>
                <c:pt idx="6">
                  <c:v>5250000</c:v>
                </c:pt>
                <c:pt idx="7">
                  <c:v>6000000</c:v>
                </c:pt>
                <c:pt idx="8">
                  <c:v>6750000</c:v>
                </c:pt>
                <c:pt idx="9">
                  <c:v>7500000</c:v>
                </c:pt>
                <c:pt idx="10">
                  <c:v>8250000</c:v>
                </c:pt>
                <c:pt idx="11">
                  <c:v>9000000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Виконання, грн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471177.33999999997</c:v>
                </c:pt>
                <c:pt idx="1">
                  <c:v>3018691.34</c:v>
                </c:pt>
                <c:pt idx="2">
                  <c:v>3980777.36</c:v>
                </c:pt>
              </c:numCache>
            </c:numRef>
          </c:val>
        </c:ser>
        <c:dLbls>
          <c:showVal val="1"/>
        </c:dLbls>
        <c:marker val="1"/>
        <c:axId val="140761344"/>
        <c:axId val="142029184"/>
      </c:lineChart>
      <c:catAx>
        <c:axId val="140761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029184"/>
        <c:crosses val="autoZero"/>
        <c:auto val="1"/>
        <c:lblAlgn val="ctr"/>
        <c:lblOffset val="100"/>
      </c:catAx>
      <c:valAx>
        <c:axId val="142029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076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11200.19</c:v>
                </c:pt>
                <c:pt idx="1">
                  <c:v>1.4753999999999954</c:v>
                </c:pt>
                <c:pt idx="2">
                  <c:v>8.8000000000000248E-3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FC-4CB1-901A-F910A1D81B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114736719.92</c:v>
                </c:pt>
                <c:pt idx="1">
                  <c:v>184480.03</c:v>
                </c:pt>
                <c:pt idx="2">
                  <c:v>5042.92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FC-4CB1-901A-F910A1D81B8A}"/>
            </c:ext>
          </c:extLst>
        </c:ser>
        <c:dLbls>
          <c:showVal val="1"/>
        </c:dLbls>
        <c:gapWidth val="65"/>
        <c:shape val="box"/>
        <c:axId val="148665856"/>
        <c:axId val="148667392"/>
        <c:axId val="45434624"/>
      </c:bar3DChart>
      <c:catAx>
        <c:axId val="148665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8667392"/>
        <c:crosses val="autoZero"/>
        <c:auto val="1"/>
        <c:lblAlgn val="ctr"/>
        <c:lblOffset val="100"/>
      </c:catAx>
      <c:valAx>
        <c:axId val="1486673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8665856"/>
        <c:crosses val="autoZero"/>
        <c:crossBetween val="between"/>
      </c:valAx>
      <c:serAx>
        <c:axId val="45434624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8667392"/>
        <c:crosses val="autoZero"/>
      </c:ser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прийнятих рішень з розгяду земельних питань</a:t>
            </a:r>
            <a:r>
              <a:rPr lang="ru-RU" b="1" baseline="0"/>
              <a:t> за березень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березнем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spPr>
        <a:noFill/>
        <a:ln>
          <a:noFill/>
        </a:ln>
        <a:effectLst/>
      </c:spPr>
    </c:title>
    <c:view3D>
      <c:perspective val="30"/>
    </c:view3D>
    <c:plotArea>
      <c:layout>
        <c:manualLayout>
          <c:layoutTarget val="inner"/>
          <c:xMode val="edge"/>
          <c:yMode val="edge"/>
          <c:x val="8.4575495771364292E-2"/>
          <c:y val="0.38996031746032089"/>
          <c:w val="0.89690598571011959"/>
          <c:h val="0.5074934383202099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кільність рішень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березень 2020</c:v>
                </c:pt>
                <c:pt idx="1">
                  <c:v>березень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кільксть заяв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березень 2020</c:v>
                </c:pt>
                <c:pt idx="1">
                  <c:v>березень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80</c:v>
                </c:pt>
                <c:pt idx="1">
                  <c:v>175</c:v>
                </c:pt>
              </c:numCache>
            </c:numRef>
          </c:val>
        </c:ser>
        <c:gapWidth val="219"/>
        <c:shape val="cylinder"/>
        <c:axId val="148940672"/>
        <c:axId val="129454848"/>
        <c:axId val="0"/>
      </c:bar3DChart>
      <c:catAx>
        <c:axId val="1489406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9454848"/>
        <c:crosses val="autoZero"/>
        <c:auto val="1"/>
        <c:lblAlgn val="ctr"/>
        <c:lblOffset val="100"/>
      </c:catAx>
      <c:valAx>
        <c:axId val="129454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89406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0861147564888776"/>
          <c:y val="0.89335270591174787"/>
          <c:w val="0.33110203205731381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березень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березнем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4575495771364168E-2"/>
          <c:y val="0.30662698412698736"/>
          <c:w val="0.91542450422863808"/>
          <c:h val="0.5873540807399003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березень 2020</c:v>
                </c:pt>
                <c:pt idx="1">
                  <c:v>березень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232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березень 2020</c:v>
                </c:pt>
                <c:pt idx="1">
                  <c:v>березень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березень 2020</c:v>
                </c:pt>
                <c:pt idx="1">
                  <c:v>березень 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gapWidth val="219"/>
        <c:overlap val="-27"/>
        <c:axId val="129628032"/>
        <c:axId val="129629568"/>
      </c:barChart>
      <c:catAx>
        <c:axId val="129628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9629568"/>
        <c:crosses val="autoZero"/>
        <c:auto val="1"/>
        <c:lblAlgn val="ctr"/>
        <c:lblOffset val="100"/>
      </c:catAx>
      <c:valAx>
        <c:axId val="129629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9628032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88698"/>
          <c:y val="0.89335270591174909"/>
          <c:w val="0.48740649606299563"/>
          <c:h val="8.283777027871515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mmm/yy</c:formatCode>
                <c:ptCount val="2"/>
                <c:pt idx="0">
                  <c:v>43891</c:v>
                </c:pt>
                <c:pt idx="1">
                  <c:v>44256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51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400"/>
          </a:pPr>
          <a:endParaRPr lang="uk-U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2021-04-19T06:43:00Z</cp:lastPrinted>
  <dcterms:created xsi:type="dcterms:W3CDTF">2021-02-02T07:33:00Z</dcterms:created>
  <dcterms:modified xsi:type="dcterms:W3CDTF">2021-04-19T10:16:00Z</dcterms:modified>
</cp:coreProperties>
</file>