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06" w:rsidRDefault="00080806" w:rsidP="00080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Моніторинг та оцінка ступеня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послуг для осіб з інвалідністю у 2026</w:t>
      </w:r>
    </w:p>
    <w:p w:rsidR="00080806" w:rsidRPr="004B1091" w:rsidRDefault="00080806" w:rsidP="00080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Інформуємо, що </w:t>
      </w:r>
      <w:r w:rsidRPr="004B1091">
        <w:rPr>
          <w:rFonts w:ascii="Times New Roman" w:hAnsi="Times New Roman" w:cs="Times New Roman"/>
          <w:sz w:val="28"/>
          <w:szCs w:val="28"/>
        </w:rPr>
        <w:t xml:space="preserve">Міністерством розвитку громад та територій України визначено перелік типів об’єктів фізичного оточення, що підлягають оцінці ступеня </w:t>
      </w:r>
      <w:proofErr w:type="spellStart"/>
      <w:r w:rsidRPr="004B1091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Pr="004B1091">
        <w:rPr>
          <w:rFonts w:ascii="Times New Roman" w:hAnsi="Times New Roman" w:cs="Times New Roman"/>
          <w:sz w:val="28"/>
          <w:szCs w:val="28"/>
        </w:rPr>
        <w:t xml:space="preserve"> у 202</w:t>
      </w:r>
      <w:r w:rsidR="004C60AD">
        <w:rPr>
          <w:rFonts w:ascii="Times New Roman" w:hAnsi="Times New Roman" w:cs="Times New Roman"/>
          <w:sz w:val="28"/>
          <w:szCs w:val="28"/>
        </w:rPr>
        <w:t>6</w:t>
      </w:r>
      <w:r w:rsidRPr="004B1091">
        <w:rPr>
          <w:rFonts w:ascii="Times New Roman" w:hAnsi="Times New Roman" w:cs="Times New Roman"/>
          <w:sz w:val="28"/>
          <w:szCs w:val="28"/>
        </w:rPr>
        <w:t xml:space="preserve"> році (додається).</w:t>
      </w:r>
    </w:p>
    <w:p w:rsidR="001D4784" w:rsidRDefault="00080806" w:rsidP="001D4784">
      <w:pPr>
        <w:spacing w:after="0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B5D2C">
        <w:rPr>
          <w:rFonts w:ascii="Times New Roman" w:hAnsi="Times New Roman" w:cs="Times New Roman"/>
          <w:sz w:val="28"/>
          <w:szCs w:val="28"/>
        </w:rPr>
        <w:t xml:space="preserve">оніторинг та оцінка ступеня </w:t>
      </w:r>
      <w:proofErr w:type="spellStart"/>
      <w:r w:rsidRPr="003B5D2C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Pr="003B5D2C"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</w:t>
      </w:r>
    </w:p>
    <w:p w:rsidR="001D4784" w:rsidRDefault="00080806" w:rsidP="001D4784">
      <w:pPr>
        <w:spacing w:after="0"/>
        <w:ind w:left="1"/>
        <w:jc w:val="both"/>
        <w:rPr>
          <w:rFonts w:ascii="Times New Roman" w:hAnsi="Times New Roman" w:cs="Times New Roman"/>
          <w:sz w:val="28"/>
          <w:szCs w:val="28"/>
        </w:rPr>
      </w:pPr>
      <w:r w:rsidRPr="003B5D2C">
        <w:rPr>
          <w:rFonts w:ascii="Times New Roman" w:hAnsi="Times New Roman" w:cs="Times New Roman"/>
          <w:sz w:val="28"/>
          <w:szCs w:val="28"/>
        </w:rPr>
        <w:t>послуг для осіб з інвалідністю у 202</w:t>
      </w:r>
      <w:r w:rsidR="004C60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відповідно до Порядку проведення</w:t>
      </w:r>
      <w:r w:rsidRPr="00DB2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5D2C">
        <w:rPr>
          <w:rFonts w:ascii="Times New Roman" w:hAnsi="Times New Roman" w:cs="Times New Roman"/>
          <w:sz w:val="28"/>
          <w:szCs w:val="28"/>
        </w:rPr>
        <w:t>оніторинг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D2C">
        <w:rPr>
          <w:rFonts w:ascii="Times New Roman" w:hAnsi="Times New Roman" w:cs="Times New Roman"/>
          <w:sz w:val="28"/>
          <w:szCs w:val="28"/>
        </w:rPr>
        <w:t xml:space="preserve"> та оцінка ступеня </w:t>
      </w:r>
      <w:proofErr w:type="spellStart"/>
      <w:r w:rsidRPr="003B5D2C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Pr="003B5D2C"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послуг для осіб з інвалідністю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КМУ від 26.05.2021 №537 (в редакції постанови КМУ від 18.03.2025 №311</w:t>
      </w:r>
      <w:r w:rsidR="006F486F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1D4784">
        <w:rPr>
          <w:rFonts w:ascii="Times New Roman" w:hAnsi="Times New Roman" w:cs="Times New Roman"/>
          <w:sz w:val="28"/>
          <w:szCs w:val="28"/>
        </w:rPr>
        <w:t>, (далі  - Порядок).</w:t>
      </w:r>
    </w:p>
    <w:p w:rsidR="00080806" w:rsidRDefault="006F486F" w:rsidP="001D4784">
      <w:pPr>
        <w:spacing w:after="0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4">
        <w:rPr>
          <w:rFonts w:ascii="Times New Roman" w:hAnsi="Times New Roman" w:cs="Times New Roman"/>
          <w:sz w:val="28"/>
          <w:szCs w:val="28"/>
        </w:rPr>
        <w:t xml:space="preserve">          Звертаємо Вашу увагу на те, що в</w:t>
      </w:r>
      <w:r w:rsidRPr="006F486F">
        <w:rPr>
          <w:rFonts w:ascii="Times New Roman" w:hAnsi="Times New Roman" w:cs="Times New Roman"/>
          <w:sz w:val="28"/>
          <w:szCs w:val="28"/>
        </w:rPr>
        <w:t>ідповідно до постанови Кабінету Міністрів України від 27 травня 2026 р.</w:t>
      </w:r>
      <w:r w:rsidR="001D4784">
        <w:rPr>
          <w:rFonts w:ascii="Times New Roman" w:hAnsi="Times New Roman" w:cs="Times New Roman"/>
          <w:sz w:val="28"/>
          <w:szCs w:val="28"/>
        </w:rPr>
        <w:t xml:space="preserve"> </w:t>
      </w:r>
      <w:r w:rsidRPr="006F486F">
        <w:rPr>
          <w:rFonts w:ascii="Times New Roman" w:hAnsi="Times New Roman" w:cs="Times New Roman"/>
          <w:sz w:val="28"/>
          <w:szCs w:val="28"/>
        </w:rPr>
        <w:t xml:space="preserve">№ 798 </w:t>
      </w:r>
      <w:proofErr w:type="spellStart"/>
      <w:r w:rsidRPr="006F486F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6F486F">
        <w:rPr>
          <w:rFonts w:ascii="Times New Roman" w:hAnsi="Times New Roman" w:cs="Times New Roman"/>
          <w:sz w:val="28"/>
          <w:szCs w:val="28"/>
        </w:rPr>
        <w:t xml:space="preserve"> зміни до Порядку, якими передбачено оновлення додатків, що</w:t>
      </w:r>
      <w:r w:rsidR="001D4784">
        <w:rPr>
          <w:rFonts w:ascii="Times New Roman" w:hAnsi="Times New Roman" w:cs="Times New Roman"/>
          <w:sz w:val="28"/>
          <w:szCs w:val="28"/>
        </w:rPr>
        <w:t xml:space="preserve"> </w:t>
      </w:r>
      <w:r w:rsidRPr="006F486F">
        <w:rPr>
          <w:rFonts w:ascii="Times New Roman" w:hAnsi="Times New Roman" w:cs="Times New Roman"/>
          <w:sz w:val="28"/>
          <w:szCs w:val="28"/>
        </w:rPr>
        <w:t xml:space="preserve">містять критерії </w:t>
      </w:r>
      <w:proofErr w:type="spellStart"/>
      <w:r w:rsidRPr="006F486F">
        <w:rPr>
          <w:rFonts w:ascii="Times New Roman" w:hAnsi="Times New Roman" w:cs="Times New Roman"/>
          <w:sz w:val="28"/>
          <w:szCs w:val="28"/>
        </w:rPr>
        <w:t>безбар’єрност</w:t>
      </w:r>
      <w:r w:rsidR="001D478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D4784">
        <w:rPr>
          <w:rFonts w:ascii="Times New Roman" w:hAnsi="Times New Roman" w:cs="Times New Roman"/>
          <w:sz w:val="28"/>
          <w:szCs w:val="28"/>
        </w:rPr>
        <w:t xml:space="preserve"> відповідно до оновлених вимог </w:t>
      </w:r>
      <w:r w:rsidRPr="006F486F">
        <w:rPr>
          <w:rFonts w:ascii="Times New Roman" w:hAnsi="Times New Roman" w:cs="Times New Roman"/>
          <w:sz w:val="28"/>
          <w:szCs w:val="28"/>
        </w:rPr>
        <w:t>ДБН В.2.2-40:2018 «</w:t>
      </w:r>
      <w:proofErr w:type="spellStart"/>
      <w:r w:rsidRPr="006F486F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6F486F">
        <w:rPr>
          <w:rFonts w:ascii="Times New Roman" w:hAnsi="Times New Roman" w:cs="Times New Roman"/>
          <w:sz w:val="28"/>
          <w:szCs w:val="28"/>
        </w:rPr>
        <w:t xml:space="preserve"> будівель і споруд. Основні положення»</w:t>
      </w:r>
      <w:r w:rsidR="0008080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080806" w:rsidRPr="004501ED" w:rsidRDefault="00080806" w:rsidP="00080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пунктом 10 Порядку управителі об’єктів (</w:t>
      </w:r>
      <w:r w:rsidRPr="00DB2756">
        <w:rPr>
          <w:rFonts w:ascii="Times New Roman" w:hAnsi="Times New Roman" w:cs="Times New Roman"/>
          <w:sz w:val="28"/>
          <w:szCs w:val="28"/>
        </w:rPr>
        <w:t>власники (балансоутримувачі), орендарі або інші управителі об’єктів фізичного оточення, що несуть відповідальність за їх експлуатацію</w:t>
      </w:r>
      <w:r>
        <w:rPr>
          <w:rFonts w:ascii="Times New Roman" w:hAnsi="Times New Roman" w:cs="Times New Roman"/>
          <w:sz w:val="28"/>
          <w:szCs w:val="28"/>
        </w:rPr>
        <w:t xml:space="preserve">) проводять оцінку ступеня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об’єктів до 31 серпня та подають інформацію (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файл із завантаженими відповідями) в управління архітектури та містобудування Калуської міської ради на електронну адресу </w:t>
      </w:r>
      <w:hyperlink r:id="rId4" w:history="1">
        <w:r w:rsidRPr="00FC49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vam__kmr@ukr.net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формування звіту відповідно до Додатку 6 Порядку.</w:t>
      </w:r>
    </w:p>
    <w:p w:rsidR="00080806" w:rsidRDefault="001D4784" w:rsidP="00080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80806">
        <w:rPr>
          <w:rFonts w:ascii="Times New Roman" w:hAnsi="Times New Roman" w:cs="Times New Roman"/>
          <w:sz w:val="28"/>
          <w:szCs w:val="28"/>
        </w:rPr>
        <w:t xml:space="preserve">аповнення результатів  оцінки ступеня </w:t>
      </w:r>
      <w:proofErr w:type="spellStart"/>
      <w:r w:rsidR="00080806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="00080806">
        <w:rPr>
          <w:rFonts w:ascii="Times New Roman" w:hAnsi="Times New Roman" w:cs="Times New Roman"/>
          <w:sz w:val="28"/>
          <w:szCs w:val="28"/>
        </w:rPr>
        <w:t xml:space="preserve"> здійснюється у цифровому форматі.</w:t>
      </w:r>
    </w:p>
    <w:p w:rsidR="00080806" w:rsidRDefault="00080806" w:rsidP="00080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вищевикладене, просимо </w:t>
      </w:r>
      <w:r w:rsidR="004C60AD">
        <w:rPr>
          <w:rFonts w:ascii="Times New Roman" w:hAnsi="Times New Roman" w:cs="Times New Roman"/>
          <w:sz w:val="28"/>
          <w:szCs w:val="28"/>
        </w:rPr>
        <w:t xml:space="preserve">управителів об’єктів </w:t>
      </w:r>
      <w:r>
        <w:rPr>
          <w:rFonts w:ascii="Times New Roman" w:hAnsi="Times New Roman" w:cs="Times New Roman"/>
          <w:sz w:val="28"/>
          <w:szCs w:val="28"/>
        </w:rPr>
        <w:t xml:space="preserve"> провести м</w:t>
      </w:r>
      <w:r w:rsidRPr="003B5D2C">
        <w:rPr>
          <w:rFonts w:ascii="Times New Roman" w:hAnsi="Times New Roman" w:cs="Times New Roman"/>
          <w:sz w:val="28"/>
          <w:szCs w:val="28"/>
        </w:rPr>
        <w:t xml:space="preserve">оніторинг та оцінка ступеня </w:t>
      </w:r>
      <w:proofErr w:type="spellStart"/>
      <w:r w:rsidRPr="003B5D2C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Pr="003B5D2C"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послуг для осіб з інвалідністю </w:t>
      </w:r>
      <w:r>
        <w:rPr>
          <w:rFonts w:ascii="Times New Roman" w:hAnsi="Times New Roman" w:cs="Times New Roman"/>
          <w:sz w:val="28"/>
          <w:szCs w:val="28"/>
        </w:rPr>
        <w:t>відповідно до Порядку та типів об'єктів, які підлягають моніторингу</w:t>
      </w:r>
      <w:r w:rsidR="00BA3212">
        <w:rPr>
          <w:rFonts w:ascii="Times New Roman" w:hAnsi="Times New Roman" w:cs="Times New Roman"/>
          <w:sz w:val="28"/>
          <w:szCs w:val="28"/>
        </w:rPr>
        <w:t xml:space="preserve"> до 31.08.2026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84" w:rsidRPr="001D4784" w:rsidRDefault="001D4784" w:rsidP="001D4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784">
        <w:rPr>
          <w:rFonts w:ascii="Times New Roman" w:hAnsi="Times New Roman" w:cs="Times New Roman"/>
          <w:sz w:val="28"/>
          <w:szCs w:val="28"/>
        </w:rPr>
        <w:t>Відповідні оновлені додатки до Порядку доступні у цифровому форматі за</w:t>
      </w:r>
    </w:p>
    <w:p w:rsidR="001D4784" w:rsidRDefault="001D4784" w:rsidP="001D4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784">
        <w:rPr>
          <w:rFonts w:ascii="Times New Roman" w:hAnsi="Times New Roman" w:cs="Times New Roman"/>
          <w:sz w:val="28"/>
          <w:szCs w:val="28"/>
        </w:rPr>
        <w:t xml:space="preserve">посиланням: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1D4784">
        <w:rPr>
          <w:rFonts w:ascii="Times New Roman" w:hAnsi="Times New Roman" w:cs="Times New Roman"/>
          <w:sz w:val="28"/>
          <w:szCs w:val="28"/>
        </w:rPr>
        <w:instrText>https://lun.ua/misto/checklist-barrier-free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B33F0E">
        <w:rPr>
          <w:rStyle w:val="a3"/>
          <w:rFonts w:ascii="Times New Roman" w:hAnsi="Times New Roman" w:cs="Times New Roman"/>
          <w:sz w:val="28"/>
          <w:szCs w:val="28"/>
        </w:rPr>
        <w:t>https://lun.ua/misto/checklist-barrier-free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80806" w:rsidRPr="00985BF3" w:rsidRDefault="00080806" w:rsidP="00080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BF3">
        <w:rPr>
          <w:rFonts w:ascii="Times New Roman" w:hAnsi="Times New Roman" w:cs="Times New Roman"/>
          <w:sz w:val="28"/>
          <w:szCs w:val="28"/>
          <w:u w:val="single"/>
        </w:rPr>
        <w:t>Посилання на картку (чек-лист), відповідно до якого проводиться оцінка:</w:t>
      </w:r>
    </w:p>
    <w:p w:rsidR="00080806" w:rsidRDefault="00080806" w:rsidP="00080806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1 Порядку (громадські будівлі, </w:t>
      </w:r>
      <w:r w:rsidR="00BA3212">
        <w:rPr>
          <w:rFonts w:ascii="Times New Roman" w:hAnsi="Times New Roman" w:cs="Times New Roman"/>
          <w:sz w:val="28"/>
          <w:szCs w:val="28"/>
        </w:rPr>
        <w:t>адміністративні будівлі, заклади освіти, центр надання адміністративних послуг,</w:t>
      </w:r>
      <w:r w:rsidR="00BA3212" w:rsidRPr="00BA3212">
        <w:t xml:space="preserve"> </w:t>
      </w:r>
      <w:r w:rsidR="00BA3212" w:rsidRPr="00BA3212">
        <w:rPr>
          <w:rFonts w:ascii="Times New Roman" w:hAnsi="Times New Roman" w:cs="Times New Roman"/>
          <w:sz w:val="28"/>
          <w:szCs w:val="28"/>
        </w:rPr>
        <w:t>будівля надавачів соціальних послуг та соціального захисту</w:t>
      </w:r>
      <w:r w:rsidR="00BA3212">
        <w:rPr>
          <w:rFonts w:ascii="Times New Roman" w:hAnsi="Times New Roman" w:cs="Times New Roman"/>
          <w:sz w:val="28"/>
          <w:szCs w:val="28"/>
        </w:rPr>
        <w:t xml:space="preserve">, </w:t>
      </w:r>
      <w:r w:rsidR="00BA3212" w:rsidRPr="00BA3212">
        <w:rPr>
          <w:rFonts w:ascii="Times New Roman" w:hAnsi="Times New Roman" w:cs="Times New Roman"/>
          <w:sz w:val="28"/>
          <w:szCs w:val="28"/>
        </w:rPr>
        <w:t>заклад культури</w:t>
      </w:r>
      <w:r w:rsidR="00BA3212">
        <w:rPr>
          <w:rFonts w:ascii="Times New Roman" w:hAnsi="Times New Roman" w:cs="Times New Roman"/>
          <w:sz w:val="28"/>
          <w:szCs w:val="28"/>
        </w:rPr>
        <w:t xml:space="preserve">, </w:t>
      </w:r>
      <w:r w:rsidR="00BA3212" w:rsidRPr="00BA3212">
        <w:rPr>
          <w:rFonts w:ascii="Times New Roman" w:hAnsi="Times New Roman" w:cs="Times New Roman"/>
          <w:sz w:val="28"/>
          <w:szCs w:val="28"/>
        </w:rPr>
        <w:t>об’єкт спортивної інфраструктури</w:t>
      </w:r>
      <w:r w:rsidR="00BA3212">
        <w:rPr>
          <w:rFonts w:ascii="Times New Roman" w:hAnsi="Times New Roman" w:cs="Times New Roman"/>
          <w:sz w:val="28"/>
          <w:szCs w:val="28"/>
        </w:rPr>
        <w:t xml:space="preserve">, </w:t>
      </w:r>
      <w:r w:rsidR="00BA3212" w:rsidRPr="00BA3212">
        <w:rPr>
          <w:rFonts w:ascii="Times New Roman" w:hAnsi="Times New Roman" w:cs="Times New Roman"/>
          <w:sz w:val="28"/>
          <w:szCs w:val="28"/>
        </w:rPr>
        <w:t>інша громадська будівля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816CCE">
        <w:t xml:space="preserve"> </w:t>
      </w:r>
      <w:hyperlink r:id="rId5" w:history="1">
        <w:r w:rsidR="005442F3" w:rsidRPr="00B33F0E">
          <w:rPr>
            <w:rStyle w:val="a3"/>
            <w:rFonts w:ascii="Times New Roman" w:hAnsi="Times New Roman" w:cs="Times New Roman"/>
            <w:sz w:val="28"/>
            <w:szCs w:val="28"/>
          </w:rPr>
          <w:t>https://lun.ua/misto/forms/mindev_buildings</w:t>
        </w:r>
      </w:hyperlink>
      <w:r w:rsidR="005442F3">
        <w:rPr>
          <w:rFonts w:ascii="Times New Roman" w:hAnsi="Times New Roman" w:cs="Times New Roman"/>
          <w:sz w:val="28"/>
          <w:szCs w:val="28"/>
        </w:rPr>
        <w:t xml:space="preserve"> </w:t>
      </w:r>
      <w:r w:rsidRPr="00BA321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080806" w:rsidRDefault="00080806" w:rsidP="00080806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Додаток 2 Порядку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( </w:t>
      </w:r>
      <w:r w:rsidR="00BA321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о</w:t>
      </w:r>
      <w:r w:rsidR="00BA3212" w:rsidRPr="00BA321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б’єкти транспортної інфраструктури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-</w:t>
      </w:r>
      <w:r w:rsidR="00BA321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6" w:history="1">
        <w:r w:rsidR="005442F3"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https://lun.ua/misto/forms/mindev_stations</w:t>
        </w:r>
      </w:hyperlink>
      <w:r w:rsidR="005442F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080806" w:rsidRDefault="00080806" w:rsidP="00080806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Додаток 3 Порядку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(вулиці та дороги) </w:t>
      </w: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BA321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7" w:history="1">
        <w:r w:rsidR="005442F3"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https://lun.ua/misto/forms/mindev_streets</w:t>
        </w:r>
      </w:hyperlink>
      <w:r w:rsidR="005442F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080806" w:rsidRPr="00BA3212" w:rsidRDefault="00080806" w:rsidP="00080806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Додаток 4 Порядку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(зупинки громадського транспорту)</w:t>
      </w: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-</w:t>
      </w:r>
      <w:r w:rsidR="00BA3212">
        <w:t xml:space="preserve"> </w:t>
      </w:r>
      <w:hyperlink r:id="rId8" w:history="1">
        <w:r w:rsidR="005442F3" w:rsidRPr="00B33F0E">
          <w:rPr>
            <w:rStyle w:val="a3"/>
            <w:rFonts w:ascii="Times New Roman" w:hAnsi="Times New Roman" w:cs="Times New Roman"/>
            <w:sz w:val="28"/>
            <w:szCs w:val="28"/>
          </w:rPr>
          <w:t>https://lun.ua/misto/forms/mindev-stops</w:t>
        </w:r>
      </w:hyperlink>
      <w:r w:rsidR="005442F3">
        <w:rPr>
          <w:rFonts w:ascii="Times New Roman" w:hAnsi="Times New Roman" w:cs="Times New Roman"/>
          <w:sz w:val="28"/>
          <w:szCs w:val="28"/>
        </w:rPr>
        <w:t xml:space="preserve"> </w:t>
      </w:r>
      <w:r w:rsidRPr="00BA3212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080806" w:rsidRPr="00BA3212" w:rsidRDefault="00080806" w:rsidP="00080806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Додаток 5 Порядку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(об’єкти благоустрою) </w:t>
      </w:r>
      <w:r w:rsidRPr="00816CC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- </w:t>
      </w:r>
      <w:hyperlink r:id="rId9" w:history="1">
        <w:r w:rsidR="005442F3" w:rsidRPr="00B33F0E">
          <w:rPr>
            <w:rStyle w:val="a3"/>
            <w:rFonts w:ascii="Times New Roman" w:hAnsi="Times New Roman" w:cs="Times New Roman"/>
            <w:sz w:val="28"/>
            <w:szCs w:val="28"/>
          </w:rPr>
          <w:t>https://lun.ua/misto/forms/mindev-spaces</w:t>
        </w:r>
      </w:hyperlink>
      <w:r w:rsidR="005442F3">
        <w:rPr>
          <w:rFonts w:ascii="Times New Roman" w:hAnsi="Times New Roman" w:cs="Times New Roman"/>
          <w:sz w:val="28"/>
          <w:szCs w:val="28"/>
        </w:rPr>
        <w:t xml:space="preserve"> </w:t>
      </w:r>
      <w:r w:rsidRPr="00BA321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5442F3" w:rsidRDefault="005442F3" w:rsidP="0008080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 xml:space="preserve">Додаток 7 (житлові будівлі) - </w:t>
      </w:r>
      <w:hyperlink r:id="rId10" w:history="1">
        <w:r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https://lun.ua/misto/forms/mindev-houses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5442F3" w:rsidRDefault="005442F3" w:rsidP="0008080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Додаток 8 (</w:t>
      </w:r>
      <w:r w:rsidRPr="005442F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автозаправна станція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(АЗС, АЗК) - </w:t>
      </w:r>
      <w:hyperlink r:id="rId11" w:history="1">
        <w:r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https://lun.ua/misto/forms/mindev-petrol-stations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5442F3" w:rsidRDefault="005442F3" w:rsidP="0008080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Додаток 9 (</w:t>
      </w:r>
      <w:r w:rsidRPr="005442F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готель та інші заклади розміщення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) - </w:t>
      </w:r>
      <w:hyperlink r:id="rId12" w:history="1">
        <w:r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https://lun.ua/misto/forms/mindev-hotels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;</w:t>
      </w:r>
    </w:p>
    <w:p w:rsidR="005442F3" w:rsidRDefault="005442F3" w:rsidP="0008080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Додаток 10 (заклад харчування) - </w:t>
      </w:r>
      <w:hyperlink r:id="rId13" w:history="1">
        <w:r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https://lun.ua/misto/forms/mindev-cafes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;</w:t>
      </w:r>
    </w:p>
    <w:p w:rsidR="005442F3" w:rsidRDefault="005442F3" w:rsidP="0008080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5442F3" w:rsidRDefault="005442F3" w:rsidP="0008080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Додаток 11 будівлі і споруди сфери послуг (фінансова установа) - </w:t>
      </w:r>
      <w:hyperlink r:id="rId14" w:history="1">
        <w:r w:rsidRPr="00B33F0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https://lun.ua/misto/forms/mindev-services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.</w:t>
      </w:r>
    </w:p>
    <w:p w:rsidR="00C972E0" w:rsidRDefault="00080806" w:rsidP="006F486F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ab/>
        <w:t xml:space="preserve">За консультацією та методологічною допомогою щодо проведення моніторингу та оцінки ступеня </w:t>
      </w:r>
      <w:proofErr w:type="spellStart"/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безбар'єрності</w:t>
      </w:r>
      <w:proofErr w:type="spellEnd"/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об’єктів управителем  можна звернутись в управління архітектури та містобудування за номером (03472) 6-68-16.</w:t>
      </w:r>
    </w:p>
    <w:p w:rsidR="00080806" w:rsidRPr="0057643E" w:rsidRDefault="00080806" w:rsidP="00080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43E">
        <w:rPr>
          <w:rFonts w:ascii="Times New Roman" w:hAnsi="Times New Roman" w:cs="Times New Roman"/>
          <w:b/>
          <w:sz w:val="28"/>
          <w:szCs w:val="28"/>
        </w:rPr>
        <w:t xml:space="preserve">Типи об’єктів, що підлягають моніторингу </w:t>
      </w:r>
      <w:proofErr w:type="spellStart"/>
      <w:r w:rsidRPr="0057643E">
        <w:rPr>
          <w:rFonts w:ascii="Times New Roman" w:hAnsi="Times New Roman" w:cs="Times New Roman"/>
          <w:b/>
          <w:sz w:val="28"/>
          <w:szCs w:val="28"/>
        </w:rPr>
        <w:t>безбар’єрності</w:t>
      </w:r>
      <w:proofErr w:type="spellEnd"/>
      <w:r w:rsidRPr="0057643E">
        <w:rPr>
          <w:rFonts w:ascii="Times New Roman" w:hAnsi="Times New Roman" w:cs="Times New Roman"/>
          <w:b/>
          <w:sz w:val="28"/>
          <w:szCs w:val="28"/>
        </w:rPr>
        <w:t xml:space="preserve"> у 202</w:t>
      </w:r>
      <w:r w:rsidR="004C60AD">
        <w:rPr>
          <w:rFonts w:ascii="Times New Roman" w:hAnsi="Times New Roman" w:cs="Times New Roman"/>
          <w:b/>
          <w:sz w:val="28"/>
          <w:szCs w:val="28"/>
        </w:rPr>
        <w:t>6</w:t>
      </w:r>
      <w:r w:rsidRPr="0057643E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080806" w:rsidRDefault="00080806" w:rsidP="000808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643E">
        <w:rPr>
          <w:rFonts w:ascii="Times New Roman" w:hAnsi="Times New Roman" w:cs="Times New Roman"/>
          <w:sz w:val="28"/>
          <w:szCs w:val="28"/>
        </w:rPr>
        <w:t xml:space="preserve">ідповідно до пункту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643E">
        <w:rPr>
          <w:rFonts w:ascii="Times New Roman" w:hAnsi="Times New Roman" w:cs="Times New Roman"/>
          <w:sz w:val="28"/>
          <w:szCs w:val="28"/>
        </w:rPr>
        <w:t xml:space="preserve"> Порядку проведення моніторингу та оцінки ступеня </w:t>
      </w:r>
      <w:proofErr w:type="spellStart"/>
      <w:r w:rsidRPr="0057643E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57643E"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послуг для осіб з інвалідністю, затвердженого постановою Кабінету Міністрів України від 26 травня 2021 року № 537</w:t>
      </w:r>
      <w:r>
        <w:rPr>
          <w:rFonts w:ascii="Times New Roman" w:hAnsi="Times New Roman" w:cs="Times New Roman"/>
          <w:sz w:val="28"/>
          <w:szCs w:val="28"/>
        </w:rPr>
        <w:t xml:space="preserve">, (далі - Порядок)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основі пропозиції від громадських організацій та переліку Показників </w:t>
      </w:r>
      <w:r w:rsidRPr="0057643E">
        <w:rPr>
          <w:rFonts w:ascii="Times New Roman" w:hAnsi="Times New Roman" w:cs="Times New Roman"/>
          <w:sz w:val="28"/>
          <w:szCs w:val="28"/>
        </w:rPr>
        <w:t xml:space="preserve">результативності реалізації Національної стратегії із створення </w:t>
      </w:r>
      <w:proofErr w:type="spellStart"/>
      <w:r w:rsidRPr="0057643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57643E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>
        <w:rPr>
          <w:rFonts w:ascii="Times New Roman" w:hAnsi="Times New Roman" w:cs="Times New Roman"/>
          <w:sz w:val="28"/>
          <w:szCs w:val="28"/>
        </w:rPr>
        <w:t>, визначило такі типи об’єктів:</w:t>
      </w:r>
    </w:p>
    <w:tbl>
      <w:tblPr>
        <w:tblW w:w="1051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2107"/>
        <w:gridCol w:w="2268"/>
        <w:gridCol w:w="2268"/>
        <w:gridCol w:w="2127"/>
      </w:tblGrid>
      <w:tr w:rsidR="00BA3212" w:rsidTr="00BA3212">
        <w:tc>
          <w:tcPr>
            <w:tcW w:w="1740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Підтипи</w:t>
            </w:r>
          </w:p>
        </w:tc>
        <w:tc>
          <w:tcPr>
            <w:tcW w:w="2268" w:type="dxa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Порядку</w:t>
            </w:r>
          </w:p>
        </w:tc>
        <w:tc>
          <w:tcPr>
            <w:tcW w:w="212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Посилання на чек-лист</w:t>
            </w:r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Громадські будівлі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 охорони здоров’я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лікарня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багатопрофільна лікарня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спеціалізована лікарня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поліклініка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амбулаторія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первинної медичної допомоги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консультативно-діагностичний центр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пологовий будинок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реабілітаційний заклад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госпіталь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стоматологічна поліклініка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1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https://lun.ua/misto/forms/mindev_buildings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адміністративна будівля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міська рада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селищна рада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сільська рада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районна адміністрація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обласна адміністрація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дошкільної освіти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загальної середньої освіти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позашкільної освіти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професійної (професійно-технічної) освіти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вищої освіти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-ресурсний центр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739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надання адміністративних послуг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будівля надавачів соціальних послуг та соціального захисту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соціальних служб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соціального захисту населення та територіальні підрозділи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реабілітації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соціальної підтримки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будинок-інтернат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геріатричний заклад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 культури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кінотеатр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філармонія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будинок культури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молодіжний простір та центр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клубний заклад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мистецька школа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виставковий центр/галерея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архів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об’єкт спортивної інфраструктури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спортивний комплекс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спортивна школа (ДЮСШ)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стадіон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фізкультурно-оздоровчий комплекс, басейн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спортивний зал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льодова арена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критий спортивний майданчик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3555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інша громадська будівля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ветеранський простір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життєстійкості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центр ментального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здоровʼя</w:t>
            </w:r>
            <w:proofErr w:type="spellEnd"/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територіальний центр комплектування та соціальної підтримки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зайнятості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обслуговування платників податків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сервісний центр пенсійного фонду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сервісний центр МВС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відділення поліції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пожежна частина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бізнес 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коворкінг</w:t>
            </w:r>
            <w:proofErr w:type="spellEnd"/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офісний центр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Житлові будівлі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багатоквартирний житловий будинок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Додаток 7 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https://lun.ua/misto/forms/mindev-houses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приватна житлова будівля</w:t>
            </w:r>
          </w:p>
        </w:tc>
        <w:tc>
          <w:tcPr>
            <w:tcW w:w="2268" w:type="dxa"/>
          </w:tcPr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будівля для тимчасового проживання ВПО та евакуйованих осіб</w:t>
            </w:r>
          </w:p>
        </w:tc>
        <w:tc>
          <w:tcPr>
            <w:tcW w:w="2268" w:type="dxa"/>
          </w:tcPr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місця тимчасового проживання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модульне містечко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гуртожиток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переобладнана громадська будівля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соціальне житло для ВПО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1264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 та інші заклади розміщення</w:t>
            </w:r>
          </w:p>
        </w:tc>
        <w:tc>
          <w:tcPr>
            <w:tcW w:w="2268" w:type="dxa"/>
          </w:tcPr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-готель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мотель</w:t>
            </w:r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хостел</w:t>
            </w:r>
            <w:proofErr w:type="spellEnd"/>
          </w:p>
          <w:p w:rsidR="00BA3212" w:rsidRDefault="00BA3212" w:rsidP="00C501F6">
            <w:pPr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9</w:t>
            </w:r>
          </w:p>
        </w:tc>
        <w:tc>
          <w:tcPr>
            <w:tcW w:w="212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https://lun.ua/misto/forms/mindev-hotels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Будівлі і споруди сфери послуг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фінансова установа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кредитна установа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 компанія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обміну валют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11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https://lun.ua/misto/forms/mindev-services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поштове відділення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торговельний об’єкт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торгово-розважальний центр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торговий 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магазин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супермаркет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ринок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1904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побутові послуги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хімчистка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ремонт взуття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ремонт одягу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ремонт техніки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ательє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1029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автосервісні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послуги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шиномонтаж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автомийка</w:t>
            </w:r>
            <w:proofErr w:type="spellEnd"/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19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794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 догляду та краси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перукарня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салон краси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косметологічний кабінет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SPA-центр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масажний кабінет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9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 харчування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ресторан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кав'ярня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їдальня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фудкорт</w:t>
            </w:r>
            <w:proofErr w:type="spellEnd"/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інше 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10</w:t>
            </w:r>
          </w:p>
        </w:tc>
        <w:tc>
          <w:tcPr>
            <w:tcW w:w="212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https://lun.ua/misto/forms/mindev-cafes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Об’єкти транспортної інфраструктури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автовокзал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Додаток 2 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https://lun.ua/misto/forms/mindev_stations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залізничний вокзал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аеропорт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649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автостанція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залізнична станція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аеродром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причал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1069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автозаправна станція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АЗС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АЗК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8</w:t>
            </w:r>
          </w:p>
        </w:tc>
        <w:tc>
          <w:tcPr>
            <w:tcW w:w="212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https://lun.ua/misto/forms/mindev-petrol-stations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Вулиці та дороги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вулиця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3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https://lun.ua/misto/forms/mindev_streets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бульвар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провулок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пішохідна вулиця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75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автомобільна дорога</w:t>
            </w:r>
          </w:p>
        </w:tc>
        <w:tc>
          <w:tcPr>
            <w:tcW w:w="2268" w:type="dxa"/>
          </w:tcPr>
          <w:p w:rsidR="00BA3212" w:rsidRPr="00B14881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міжнародна</w:t>
            </w:r>
          </w:p>
          <w:p w:rsidR="00BA3212" w:rsidRPr="00B14881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регіональна</w:t>
            </w:r>
          </w:p>
          <w:p w:rsidR="00BA3212" w:rsidRPr="00B14881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територіальна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Зупинки громадського транспорту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зупинка  наземного транспорту</w:t>
            </w: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автобусні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тролейбусні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маршрутного таксі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трамвайні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фунікулер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спільні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4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https://lun.ua/misto/forms/mindev-stops</w:t>
              </w:r>
            </w:hyperlink>
          </w:p>
        </w:tc>
      </w:tr>
      <w:tr w:rsidR="00BA3212" w:rsidTr="00BA3212">
        <w:trPr>
          <w:trHeight w:val="749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зупинка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метрополітену</w:t>
            </w: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Об’єкти благоустрою</w:t>
            </w: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</w:t>
            </w:r>
          </w:p>
        </w:tc>
        <w:tc>
          <w:tcPr>
            <w:tcW w:w="2268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Додаток 5</w:t>
            </w:r>
          </w:p>
          <w:p w:rsidR="00BA3212" w:rsidRDefault="00BA3212" w:rsidP="00BA3212">
            <w:pPr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https://lun.ua/misto/forms/mindev-spaces</w:t>
              </w:r>
            </w:hyperlink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парк та сквер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бульвар з місцями для відпочинку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національний парк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заповідник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ботанічний сад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зоопарк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дитячий майданчик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спортивний майданчик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меморіальний комплекс та кладовище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пляж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набережна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212" w:rsidTr="00BA3212">
        <w:trPr>
          <w:trHeight w:val="200"/>
        </w:trPr>
        <w:tc>
          <w:tcPr>
            <w:tcW w:w="1740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інше</w:t>
            </w:r>
          </w:p>
        </w:tc>
        <w:tc>
          <w:tcPr>
            <w:tcW w:w="2268" w:type="dxa"/>
            <w:vMerge/>
          </w:tcPr>
          <w:p w:rsidR="00BA3212" w:rsidRDefault="00BA3212" w:rsidP="00C5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212" w:rsidRDefault="00BA3212" w:rsidP="00B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3212" w:rsidRDefault="00BA3212" w:rsidP="00C501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3212" w:rsidRDefault="00BA3212" w:rsidP="00BA32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0806" w:rsidRPr="003B5D2C" w:rsidRDefault="00080806" w:rsidP="00080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DD5" w:rsidRDefault="00A54DD5"/>
    <w:sectPr w:rsidR="00A54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06"/>
    <w:rsid w:val="00080806"/>
    <w:rsid w:val="00113BE6"/>
    <w:rsid w:val="001D4784"/>
    <w:rsid w:val="00446956"/>
    <w:rsid w:val="004C60AD"/>
    <w:rsid w:val="005442F3"/>
    <w:rsid w:val="006F486F"/>
    <w:rsid w:val="00861426"/>
    <w:rsid w:val="00A54DD5"/>
    <w:rsid w:val="00B323AE"/>
    <w:rsid w:val="00BA3212"/>
    <w:rsid w:val="00C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9144"/>
  <w15:chartTrackingRefBased/>
  <w15:docId w15:val="{0439B09A-D7AD-4400-91D5-0326938D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8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3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n.ua/misto/forms/mindev-stops" TargetMode="External"/><Relationship Id="rId13" Type="http://schemas.openxmlformats.org/officeDocument/2006/relationships/hyperlink" Target="https://lun.ua/misto/forms/mindev-cafes" TargetMode="External"/><Relationship Id="rId18" Type="http://schemas.openxmlformats.org/officeDocument/2006/relationships/hyperlink" Target="https://lun.ua/misto/forms/mindev-service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un.ua/misto/forms/mindev-petrol-stations" TargetMode="External"/><Relationship Id="rId7" Type="http://schemas.openxmlformats.org/officeDocument/2006/relationships/hyperlink" Target="https://lun.ua/misto/forms/mindev_streets" TargetMode="External"/><Relationship Id="rId12" Type="http://schemas.openxmlformats.org/officeDocument/2006/relationships/hyperlink" Target="https://lun.ua/misto/forms/mindev-hotels" TargetMode="External"/><Relationship Id="rId17" Type="http://schemas.openxmlformats.org/officeDocument/2006/relationships/hyperlink" Target="https://lun.ua/misto/forms/mindev-hotel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un.ua/misto/forms/mindev-houses" TargetMode="External"/><Relationship Id="rId20" Type="http://schemas.openxmlformats.org/officeDocument/2006/relationships/hyperlink" Target="https://lun.ua/misto/forms/mindev_stati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lun.ua/misto/forms/mindev_stations" TargetMode="External"/><Relationship Id="rId11" Type="http://schemas.openxmlformats.org/officeDocument/2006/relationships/hyperlink" Target="https://lun.ua/misto/forms/mindev-petrol-stations" TargetMode="External"/><Relationship Id="rId24" Type="http://schemas.openxmlformats.org/officeDocument/2006/relationships/hyperlink" Target="https://lun.ua/misto/forms/mindev-spaces" TargetMode="External"/><Relationship Id="rId5" Type="http://schemas.openxmlformats.org/officeDocument/2006/relationships/hyperlink" Target="https://lun.ua/misto/forms/mindev_buildings" TargetMode="External"/><Relationship Id="rId15" Type="http://schemas.openxmlformats.org/officeDocument/2006/relationships/hyperlink" Target="https://lun.ua/misto/forms/mindev_buildings" TargetMode="External"/><Relationship Id="rId23" Type="http://schemas.openxmlformats.org/officeDocument/2006/relationships/hyperlink" Target="https://lun.ua/misto/forms/mindev-stops" TargetMode="External"/><Relationship Id="rId10" Type="http://schemas.openxmlformats.org/officeDocument/2006/relationships/hyperlink" Target="https://lun.ua/misto/forms/mindev-houses" TargetMode="External"/><Relationship Id="rId19" Type="http://schemas.openxmlformats.org/officeDocument/2006/relationships/hyperlink" Target="https://lun.ua/misto/forms/mindev-cafes" TargetMode="External"/><Relationship Id="rId4" Type="http://schemas.openxmlformats.org/officeDocument/2006/relationships/hyperlink" Target="mailto:vam__kmr@ukr.net" TargetMode="External"/><Relationship Id="rId9" Type="http://schemas.openxmlformats.org/officeDocument/2006/relationships/hyperlink" Target="https://lun.ua/misto/forms/mindev-spaces" TargetMode="External"/><Relationship Id="rId14" Type="http://schemas.openxmlformats.org/officeDocument/2006/relationships/hyperlink" Target="https://lun.ua/misto/forms/mindev-services" TargetMode="External"/><Relationship Id="rId22" Type="http://schemas.openxmlformats.org/officeDocument/2006/relationships/hyperlink" Target="https://lun.ua/misto/forms/mindev_street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5866</Words>
  <Characters>3345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2026-07-08T08:28:00Z</cp:lastPrinted>
  <dcterms:created xsi:type="dcterms:W3CDTF">2026-05-28T12:43:00Z</dcterms:created>
  <dcterms:modified xsi:type="dcterms:W3CDTF">2026-07-08T08:29:00Z</dcterms:modified>
</cp:coreProperties>
</file>