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F5C3" w14:textId="12E07C4A" w:rsidR="00CD44F6" w:rsidRPr="00CD44F6" w:rsidRDefault="00CD44F6" w:rsidP="00A26BA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0840"/>
    </w:p>
    <w:p w14:paraId="0D268B6F" w14:textId="7EF5DCB1" w:rsidR="00864536" w:rsidRPr="00864536" w:rsidRDefault="00864536" w:rsidP="00864536">
      <w:pPr>
        <w:pStyle w:val="a8"/>
        <w:spacing w:before="0" w:beforeAutospacing="0" w:after="0" w:afterAutospacing="0"/>
        <w:ind w:firstLine="567"/>
        <w:jc w:val="both"/>
      </w:pPr>
      <w:bookmarkStart w:id="1" w:name="_Hlk223437855"/>
      <w:r w:rsidRPr="00864536">
        <w:t xml:space="preserve">У зв’язку з тим, що процедура закупівлі послуг «Поточний ремонт </w:t>
      </w:r>
      <w:proofErr w:type="spellStart"/>
      <w:r w:rsidRPr="00864536">
        <w:t>міжквартальних</w:t>
      </w:r>
      <w:proofErr w:type="spellEnd"/>
      <w:r w:rsidRPr="00864536">
        <w:t xml:space="preserve"> проїздів та вулиць Калуської міської територіальної громади Івано-Франківської області», оголошена 03.03.2026 року відділом </w:t>
      </w:r>
      <w:proofErr w:type="spellStart"/>
      <w:r w:rsidRPr="00864536">
        <w:t>закупівель</w:t>
      </w:r>
      <w:proofErr w:type="spellEnd"/>
      <w:r w:rsidRPr="00864536">
        <w:t xml:space="preserve"> УЖКГ Калуської міської ради, не відбулася у зв’язку з різким зростанням цін на бітум та паливно-мастильні матеріали, що унеможливило укладення договору з переможцем процедури закупівлі, та з огляду на нагальну потребу у виконанні зазначених послуг через незадовільний стан дорожнього покриття на території громади,</w:t>
      </w:r>
    </w:p>
    <w:p w14:paraId="2CA53342" w14:textId="74D0A4A5" w:rsidR="00BF725D" w:rsidRPr="00864536" w:rsidRDefault="00864536" w:rsidP="00200376">
      <w:pPr>
        <w:pStyle w:val="a8"/>
        <w:spacing w:before="0" w:beforeAutospacing="0" w:after="0" w:afterAutospacing="0"/>
        <w:ind w:firstLine="567"/>
        <w:jc w:val="both"/>
      </w:pPr>
      <w:r w:rsidRPr="00864536">
        <w:t xml:space="preserve">30.03.2026 року відділом </w:t>
      </w:r>
      <w:proofErr w:type="spellStart"/>
      <w:r w:rsidRPr="00864536">
        <w:t>закупівель</w:t>
      </w:r>
      <w:proofErr w:type="spellEnd"/>
      <w:r w:rsidRPr="00864536">
        <w:t xml:space="preserve"> УЖКГ Калуської міської ради повторно оголошено процедуру закупівлі послуг «Поточний ремонт </w:t>
      </w:r>
      <w:proofErr w:type="spellStart"/>
      <w:r w:rsidRPr="00864536">
        <w:t>міжквартальних</w:t>
      </w:r>
      <w:proofErr w:type="spellEnd"/>
      <w:r w:rsidRPr="00864536">
        <w:t xml:space="preserve"> проїздів та вулиць Калуської міської територіальної громади Івано-Франківської області» (ідентифікатор закупівлі: UA-2026-03-30-011666-a)  очікуваною вартістю 6 005 628,00 грн., (далі – </w:t>
      </w:r>
      <w:r>
        <w:t>«</w:t>
      </w:r>
      <w:r w:rsidRPr="00864536">
        <w:rPr>
          <w:b/>
          <w:bCs/>
        </w:rPr>
        <w:t>Закупівля</w:t>
      </w:r>
      <w:r>
        <w:rPr>
          <w:b/>
          <w:bCs/>
        </w:rPr>
        <w:t>»</w:t>
      </w:r>
      <w:r w:rsidRPr="00864536">
        <w:t>).</w:t>
      </w:r>
      <w:r>
        <w:t xml:space="preserve"> </w:t>
      </w:r>
      <w:r w:rsidRPr="00864536">
        <w:t>Процедура закупівлі здійснюється шляхом проведення відкритих торгів з особливостями.</w:t>
      </w:r>
    </w:p>
    <w:p w14:paraId="1625586B" w14:textId="00654018" w:rsidR="00033F9F" w:rsidRPr="00864536" w:rsidRDefault="00E16C03" w:rsidP="00E34A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536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2016р.  </w:t>
      </w:r>
      <w:r w:rsidR="00EF1665" w:rsidRPr="00864536">
        <w:rPr>
          <w:rFonts w:ascii="Times New Roman" w:hAnsi="Times New Roman" w:cs="Times New Roman"/>
          <w:sz w:val="24"/>
          <w:szCs w:val="24"/>
        </w:rPr>
        <w:t xml:space="preserve"> </w:t>
      </w:r>
      <w:r w:rsidRPr="00864536">
        <w:rPr>
          <w:rFonts w:ascii="Times New Roman" w:hAnsi="Times New Roman" w:cs="Times New Roman"/>
          <w:sz w:val="24"/>
          <w:szCs w:val="24"/>
        </w:rPr>
        <w:t>№ 710</w:t>
      </w:r>
      <w:r w:rsidRPr="0086453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64536">
        <w:rPr>
          <w:rStyle w:val="a7"/>
          <w:rFonts w:ascii="Times New Roman" w:hAnsi="Times New Roman" w:cs="Times New Roman"/>
          <w:b w:val="0"/>
          <w:sz w:val="24"/>
          <w:szCs w:val="24"/>
        </w:rPr>
        <w:t>Про ефективне використання державних коштів»</w:t>
      </w:r>
      <w:bookmarkStart w:id="2" w:name="_GoBack"/>
      <w:bookmarkEnd w:id="2"/>
      <w:r w:rsidRPr="0086453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та</w:t>
      </w:r>
      <w:r w:rsidRPr="00864536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</w:t>
      </w:r>
      <w:r w:rsidRPr="00864536">
        <w:rPr>
          <w:rFonts w:ascii="Times New Roman" w:hAnsi="Times New Roman" w:cs="Times New Roman"/>
          <w:bCs/>
          <w:sz w:val="24"/>
          <w:szCs w:val="24"/>
        </w:rPr>
        <w:t>від 16 грудня 2020р. № 1266</w:t>
      </w:r>
      <w:r w:rsidRPr="00864536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864536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864536">
        <w:rPr>
          <w:rFonts w:ascii="Times New Roman" w:hAnsi="Times New Roman" w:cs="Times New Roman"/>
          <w:sz w:val="24"/>
          <w:szCs w:val="24"/>
        </w:rPr>
        <w:t>повідомляємо:</w:t>
      </w:r>
    </w:p>
    <w:p w14:paraId="47588D65" w14:textId="77777777" w:rsidR="00E34A99" w:rsidRPr="00B80F34" w:rsidRDefault="00E34A99" w:rsidP="00E34A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B220EE" w14:textId="1799BFF1" w:rsidR="00775785" w:rsidRPr="00200376" w:rsidRDefault="00E672C1" w:rsidP="00E34A99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03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Pr="00200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93A83C8" w14:textId="60A9C800" w:rsidR="00033F9F" w:rsidRPr="00200376" w:rsidRDefault="00200376" w:rsidP="00E34A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76">
        <w:rPr>
          <w:rFonts w:ascii="Times New Roman" w:hAnsi="Times New Roman" w:cs="Times New Roman"/>
          <w:sz w:val="24"/>
          <w:szCs w:val="24"/>
        </w:rPr>
        <w:t xml:space="preserve">Згідно із затвердженим «Переліком послуг </w:t>
      </w:r>
      <w:r w:rsidR="004B323B">
        <w:rPr>
          <w:rFonts w:ascii="Times New Roman" w:hAnsi="Times New Roman" w:cs="Times New Roman"/>
          <w:sz w:val="24"/>
          <w:szCs w:val="24"/>
        </w:rPr>
        <w:t>по</w:t>
      </w:r>
      <w:r w:rsidRPr="00200376">
        <w:rPr>
          <w:rFonts w:ascii="Times New Roman" w:hAnsi="Times New Roman" w:cs="Times New Roman"/>
          <w:sz w:val="24"/>
          <w:szCs w:val="24"/>
        </w:rPr>
        <w:t xml:space="preserve"> ремонту та відновленн</w:t>
      </w:r>
      <w:r w:rsidR="004B323B">
        <w:rPr>
          <w:rFonts w:ascii="Times New Roman" w:hAnsi="Times New Roman" w:cs="Times New Roman"/>
          <w:sz w:val="24"/>
          <w:szCs w:val="24"/>
        </w:rPr>
        <w:t>ю</w:t>
      </w:r>
      <w:r w:rsidRPr="00200376">
        <w:rPr>
          <w:rFonts w:ascii="Times New Roman" w:hAnsi="Times New Roman" w:cs="Times New Roman"/>
          <w:sz w:val="24"/>
          <w:szCs w:val="24"/>
        </w:rPr>
        <w:t xml:space="preserve"> об’єктів благоустрою відповідно до договірних зобов’язань на 2026 рік», на об’єкт «Поточний ремонт </w:t>
      </w:r>
      <w:proofErr w:type="spellStart"/>
      <w:r w:rsidRPr="00200376">
        <w:rPr>
          <w:rFonts w:ascii="Times New Roman" w:hAnsi="Times New Roman" w:cs="Times New Roman"/>
          <w:sz w:val="24"/>
          <w:szCs w:val="24"/>
        </w:rPr>
        <w:t>міжквартальних</w:t>
      </w:r>
      <w:proofErr w:type="spellEnd"/>
      <w:r w:rsidRPr="00200376">
        <w:rPr>
          <w:rFonts w:ascii="Times New Roman" w:hAnsi="Times New Roman" w:cs="Times New Roman"/>
          <w:sz w:val="24"/>
          <w:szCs w:val="24"/>
        </w:rPr>
        <w:t xml:space="preserve"> проїздів та вулиць Калуської міської територіальної громади Івано-Франківської області» з місцевого бюджету передбачено бюджетні призначення у сумі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00376">
        <w:rPr>
          <w:rFonts w:ascii="Times New Roman" w:hAnsi="Times New Roman" w:cs="Times New Roman"/>
          <w:sz w:val="24"/>
          <w:szCs w:val="24"/>
        </w:rPr>
        <w:t>6 005 700,00 грн. Фінансування здійснюється в межах Програми капітального ремонту та утримання об’єктів благоустрою і дорожньо-мостового господарства Калуської міської територіальної громади на 2025–2027 роки, затвердженої рішенням міської ради від 04.07.2025 № 3307 (зі змінами, внесеними рішенням від 29.01.2026 № 4914).</w:t>
      </w:r>
    </w:p>
    <w:p w14:paraId="319036C5" w14:textId="3CCEB8F0" w:rsidR="00E34A99" w:rsidRPr="00200376" w:rsidRDefault="001269D7" w:rsidP="00E34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</w:p>
    <w:p w14:paraId="4D813589" w14:textId="77777777" w:rsidR="00E672C1" w:rsidRPr="00200376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очікуваної</w:t>
      </w:r>
      <w:proofErr w:type="spellEnd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вартість</w:t>
      </w:r>
      <w:proofErr w:type="spellEnd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предмета </w:t>
      </w:r>
      <w:proofErr w:type="spellStart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2003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0BE6BE3" w14:textId="4DE3A640" w:rsidR="00397CC4" w:rsidRPr="00200376" w:rsidRDefault="00033F9F" w:rsidP="00126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376">
        <w:rPr>
          <w:rFonts w:ascii="Times New Roman" w:hAnsi="Times New Roman" w:cs="Times New Roman"/>
          <w:sz w:val="24"/>
          <w:szCs w:val="24"/>
        </w:rPr>
        <w:t xml:space="preserve">Очікувана вартість щодо закупівлі «Поточний ремонт </w:t>
      </w:r>
      <w:proofErr w:type="spellStart"/>
      <w:r w:rsidR="00922942" w:rsidRPr="00200376">
        <w:rPr>
          <w:rFonts w:ascii="Times New Roman" w:hAnsi="Times New Roman" w:cs="Times New Roman"/>
          <w:sz w:val="24"/>
          <w:szCs w:val="24"/>
        </w:rPr>
        <w:t>міжквартальних</w:t>
      </w:r>
      <w:proofErr w:type="spellEnd"/>
      <w:r w:rsidR="00922942" w:rsidRPr="00200376">
        <w:rPr>
          <w:rFonts w:ascii="Times New Roman" w:hAnsi="Times New Roman" w:cs="Times New Roman"/>
          <w:sz w:val="24"/>
          <w:szCs w:val="24"/>
        </w:rPr>
        <w:t xml:space="preserve"> проїздів та </w:t>
      </w:r>
      <w:r w:rsidRPr="00200376">
        <w:rPr>
          <w:rFonts w:ascii="Times New Roman" w:hAnsi="Times New Roman" w:cs="Times New Roman"/>
          <w:sz w:val="24"/>
          <w:szCs w:val="24"/>
        </w:rPr>
        <w:t xml:space="preserve">вулиць Калуської міської територіальної громади Івано-Франківської області» </w:t>
      </w:r>
      <w:r w:rsidRPr="00200376">
        <w:rPr>
          <w:rFonts w:ascii="Times New Roman" w:hAnsi="Times New Roman" w:cs="Times New Roman"/>
          <w:iCs/>
          <w:sz w:val="24"/>
          <w:szCs w:val="24"/>
        </w:rPr>
        <w:t>визначена на підставі</w:t>
      </w:r>
      <w:r w:rsidR="001E576B" w:rsidRPr="002003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4536" w:rsidRPr="00200376">
        <w:rPr>
          <w:rFonts w:ascii="Times New Roman" w:hAnsi="Times New Roman" w:cs="Times New Roman"/>
          <w:iCs/>
          <w:sz w:val="24"/>
          <w:szCs w:val="24"/>
        </w:rPr>
        <w:t xml:space="preserve">відкоригованої </w:t>
      </w:r>
      <w:r w:rsidRPr="00200376">
        <w:rPr>
          <w:rFonts w:ascii="Times New Roman" w:hAnsi="Times New Roman" w:cs="Times New Roman"/>
          <w:sz w:val="24"/>
          <w:szCs w:val="24"/>
        </w:rPr>
        <w:t xml:space="preserve">кошторисної документації на дану послугу, </w:t>
      </w:r>
      <w:r w:rsidRPr="00200376">
        <w:rPr>
          <w:rFonts w:ascii="Times New Roman" w:hAnsi="Times New Roman" w:cs="Times New Roman"/>
          <w:iCs/>
          <w:sz w:val="24"/>
          <w:szCs w:val="24"/>
        </w:rPr>
        <w:t xml:space="preserve">із врахуванням  передбачених бюджетних призначень </w:t>
      </w:r>
      <w:r w:rsidRPr="00200376">
        <w:rPr>
          <w:rFonts w:ascii="Times New Roman" w:hAnsi="Times New Roman" w:cs="Times New Roman"/>
          <w:sz w:val="24"/>
          <w:szCs w:val="24"/>
        </w:rPr>
        <w:t>у  2026 році.</w:t>
      </w:r>
    </w:p>
    <w:p w14:paraId="6D48E298" w14:textId="77777777" w:rsidR="00E34A99" w:rsidRPr="00200376" w:rsidRDefault="00E34A99" w:rsidP="00864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A067" w14:textId="6A9F79E0" w:rsidR="00E672C1" w:rsidRPr="00200376" w:rsidRDefault="00E672C1" w:rsidP="00033F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03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Технічні та якісні характеристики  предмета закупівлі:</w:t>
      </w:r>
      <w:r w:rsidR="00EF1665" w:rsidRPr="002003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повинні</w:t>
      </w:r>
      <w:proofErr w:type="spellEnd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надані</w:t>
      </w:r>
      <w:proofErr w:type="spellEnd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200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Pr="00200376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Технічної специфікації:</w:t>
      </w:r>
    </w:p>
    <w:p w14:paraId="1DE9DCE5" w14:textId="77777777" w:rsidR="00CD44F6" w:rsidRPr="00B80F34" w:rsidRDefault="004478F0" w:rsidP="004478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0F34">
        <w:rPr>
          <w:rFonts w:ascii="Times New Roman" w:eastAsia="Times New Roman" w:hAnsi="Times New Roman" w:cs="Times New Roman"/>
          <w:b/>
        </w:rPr>
        <w:t xml:space="preserve">ТЕХНІЧНА СПЕЦИФІКАЦІЯ </w:t>
      </w:r>
    </w:p>
    <w:p w14:paraId="26E84E3F" w14:textId="4CACD811" w:rsidR="004478F0" w:rsidRPr="00B80F34" w:rsidRDefault="004478F0" w:rsidP="004478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F34">
        <w:rPr>
          <w:rFonts w:ascii="Times New Roman" w:eastAsia="Times New Roman" w:hAnsi="Times New Roman" w:cs="Times New Roman"/>
          <w:b/>
        </w:rPr>
        <w:t>на закупівлю послуги :</w:t>
      </w:r>
    </w:p>
    <w:p w14:paraId="390E8CDF" w14:textId="77777777" w:rsidR="004478F0" w:rsidRPr="00B80F34" w:rsidRDefault="004478F0" w:rsidP="004478F0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B80F34">
        <w:rPr>
          <w:rFonts w:ascii="Times New Roman" w:hAnsi="Times New Roman" w:cs="Times New Roman"/>
          <w:b/>
        </w:rPr>
        <w:t>«</w:t>
      </w:r>
      <w:r w:rsidRPr="00B80F34">
        <w:rPr>
          <w:rFonts w:ascii="Times New Roman" w:hAnsi="Times New Roman" w:cs="Times New Roman"/>
          <w:b/>
          <w:bCs/>
          <w:spacing w:val="-5"/>
        </w:rPr>
        <w:t xml:space="preserve">Поточний ремонт </w:t>
      </w:r>
      <w:proofErr w:type="spellStart"/>
      <w:r w:rsidRPr="00B80F34">
        <w:rPr>
          <w:rFonts w:ascii="Times New Roman" w:hAnsi="Times New Roman" w:cs="Times New Roman"/>
          <w:b/>
          <w:bCs/>
          <w:spacing w:val="-5"/>
        </w:rPr>
        <w:t>міжквартальних</w:t>
      </w:r>
      <w:proofErr w:type="spellEnd"/>
      <w:r w:rsidRPr="00B80F34">
        <w:rPr>
          <w:rFonts w:ascii="Times New Roman" w:hAnsi="Times New Roman" w:cs="Times New Roman"/>
          <w:b/>
          <w:bCs/>
          <w:spacing w:val="-5"/>
        </w:rPr>
        <w:t xml:space="preserve"> проїздів та вулиць Калуської міської територіальної громади Івано-Франківської області</w:t>
      </w:r>
      <w:r w:rsidRPr="00B80F34">
        <w:rPr>
          <w:rFonts w:ascii="Times New Roman" w:hAnsi="Times New Roman" w:cs="Times New Roman"/>
        </w:rPr>
        <w:t>»,</w:t>
      </w:r>
    </w:p>
    <w:p w14:paraId="7E3F1383" w14:textId="77777777" w:rsidR="004478F0" w:rsidRPr="00B80F34" w:rsidRDefault="004478F0" w:rsidP="004478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B80F34">
        <w:rPr>
          <w:rFonts w:ascii="Times New Roman" w:hAnsi="Times New Roman" w:cs="Times New Roman"/>
          <w:b/>
        </w:rPr>
        <w:t xml:space="preserve">за кодом ДК 021:2015 - (45230000-8) Будівництво трубопроводів, ліній зв’язку та </w:t>
      </w:r>
      <w:proofErr w:type="spellStart"/>
      <w:r w:rsidRPr="00B80F34">
        <w:rPr>
          <w:rFonts w:ascii="Times New Roman" w:hAnsi="Times New Roman" w:cs="Times New Roman"/>
          <w:b/>
        </w:rPr>
        <w:t>електропередач</w:t>
      </w:r>
      <w:proofErr w:type="spellEnd"/>
      <w:r w:rsidRPr="00B80F34">
        <w:rPr>
          <w:rFonts w:ascii="Times New Roman" w:hAnsi="Times New Roman" w:cs="Times New Roman"/>
          <w:b/>
        </w:rPr>
        <w:t>, шосе, доріг, аеродромів і залізничних доріг; вирівнювання поверхонь</w:t>
      </w:r>
    </w:p>
    <w:tbl>
      <w:tblPr>
        <w:tblW w:w="9899" w:type="dxa"/>
        <w:tblInd w:w="113" w:type="dxa"/>
        <w:tblLook w:val="04A0" w:firstRow="1" w:lastRow="0" w:firstColumn="1" w:lastColumn="0" w:noHBand="0" w:noVBand="1"/>
      </w:tblPr>
      <w:tblGrid>
        <w:gridCol w:w="459"/>
        <w:gridCol w:w="1340"/>
        <w:gridCol w:w="5313"/>
        <w:gridCol w:w="1417"/>
        <w:gridCol w:w="1134"/>
        <w:gridCol w:w="236"/>
      </w:tblGrid>
      <w:tr w:rsidR="001269D7" w:rsidRPr="00B80F34" w14:paraId="2000E4B0" w14:textId="77777777" w:rsidTr="00200376">
        <w:trPr>
          <w:gridAfter w:val="1"/>
          <w:wAfter w:w="236" w:type="dxa"/>
          <w:trHeight w:val="6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DA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F7C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Обґрунтуван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   ня (шифр норми)</w:t>
            </w:r>
          </w:p>
        </w:tc>
        <w:tc>
          <w:tcPr>
            <w:tcW w:w="5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6DA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Найменування  робіт і  витрат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69E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Одиниця 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5CC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Кількість</w:t>
            </w:r>
          </w:p>
        </w:tc>
      </w:tr>
      <w:tr w:rsidR="001269D7" w:rsidRPr="00B80F34" w14:paraId="798EB644" w14:textId="77777777" w:rsidTr="00200376">
        <w:trPr>
          <w:trHeight w:val="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00F6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BD315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D8DD1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65D0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C311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293D" w14:textId="77777777" w:rsidR="001269D7" w:rsidRPr="00B80F34" w:rsidRDefault="001269D7" w:rsidP="0012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17AF3CB" w14:textId="77777777" w:rsidTr="0020037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5E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73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5B817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AC3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ED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306A880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9E13E32" w14:textId="77777777" w:rsidTr="0020037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C8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21AD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Розділ 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05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ДОРОЖНІЙ ОДЯГ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1B9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947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519C2E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73342BC" w14:textId="77777777" w:rsidTr="0020037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17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96F4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06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ТИП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BDC3C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D6D2" w14:textId="77777777" w:rsidR="001269D7" w:rsidRPr="00200376" w:rsidRDefault="001269D7" w:rsidP="00200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F9F4DA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8768314" w14:textId="77777777" w:rsidTr="00200376">
        <w:trPr>
          <w:trHeight w:val="9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03B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A2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КР18-8-1ЗМ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A1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Ямковий ремонт асфальтобетонного покриття доріг одношарового товщиною 50 мм, площею ремонту до 5 м2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9E0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1F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2,8</w:t>
            </w:r>
          </w:p>
        </w:tc>
        <w:tc>
          <w:tcPr>
            <w:tcW w:w="236" w:type="dxa"/>
            <w:vAlign w:val="center"/>
            <w:hideMark/>
          </w:tcPr>
          <w:p w14:paraId="387054EB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FE49D72" w14:textId="77777777" w:rsidTr="00200376">
        <w:trPr>
          <w:trHeight w:val="9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699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8B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КР18-8-2ЗМ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849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Ямковий ремонт асфальтобетонного покриття доріг одношарового товщиною 50 мм, площею ремонту понад 5 м2 до 25 м2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427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80A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3,5</w:t>
            </w:r>
          </w:p>
        </w:tc>
        <w:tc>
          <w:tcPr>
            <w:tcW w:w="236" w:type="dxa"/>
            <w:vAlign w:val="center"/>
            <w:hideMark/>
          </w:tcPr>
          <w:p w14:paraId="4C13D524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0858639" w14:textId="77777777" w:rsidTr="00200376">
        <w:trPr>
          <w:trHeight w:val="98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F04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F4F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КР18-8-3ЗМ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9C8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Ямковий ремонт асфальтобетонного покриття доріг одношарового товщиною 70 мм, площею ремонту до 5 м2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A76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F5A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0,8</w:t>
            </w:r>
          </w:p>
        </w:tc>
        <w:tc>
          <w:tcPr>
            <w:tcW w:w="236" w:type="dxa"/>
            <w:vAlign w:val="center"/>
            <w:hideMark/>
          </w:tcPr>
          <w:p w14:paraId="167FD11A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77C7133" w14:textId="77777777" w:rsidTr="00200376">
        <w:trPr>
          <w:trHeight w:val="8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FE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6B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КР18-8-4ЗМ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E7A0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Ямковий ремонт асфальтобетонного покриття доріг одношарового товщиною 70 мм, площею ремонту понад 5 м2 до 25 м2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F5D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C1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059BDD10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E3552F4" w14:textId="77777777" w:rsidTr="00200376">
        <w:trPr>
          <w:trHeight w:val="4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8D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B3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КР20-40-1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4F6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вручну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BD8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E0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3,3</w:t>
            </w:r>
          </w:p>
        </w:tc>
        <w:tc>
          <w:tcPr>
            <w:tcW w:w="236" w:type="dxa"/>
            <w:vAlign w:val="center"/>
            <w:hideMark/>
          </w:tcPr>
          <w:p w14:paraId="6C6DDFF3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D8F92A7" w14:textId="77777777" w:rsidTr="00200376">
        <w:trPr>
          <w:trHeight w:val="38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73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40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КР20-41-1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F91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CB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68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14:paraId="329FF53A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BE659AC" w14:textId="77777777" w:rsidTr="00200376">
        <w:trPr>
          <w:trHeight w:val="6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FA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5F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С311-5-М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316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FE2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D4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92,3</w:t>
            </w:r>
          </w:p>
        </w:tc>
        <w:tc>
          <w:tcPr>
            <w:tcW w:w="236" w:type="dxa"/>
            <w:vAlign w:val="center"/>
            <w:hideMark/>
          </w:tcPr>
          <w:p w14:paraId="71DD8FE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2E78B03" w14:textId="77777777" w:rsidTr="0020037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3B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A29F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DD0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ТИП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52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835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C634E2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DB8AE8E" w14:textId="77777777" w:rsidTr="00200376">
        <w:trPr>
          <w:trHeight w:val="9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9B7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6EC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КР18-1-5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17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Розбирання асфальтобетонних покриттів механізованим способом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 (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товщ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5 см, А= 250 м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кв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740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E4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0,0625</w:t>
            </w:r>
          </w:p>
        </w:tc>
        <w:tc>
          <w:tcPr>
            <w:tcW w:w="236" w:type="dxa"/>
            <w:vAlign w:val="center"/>
            <w:hideMark/>
          </w:tcPr>
          <w:p w14:paraId="1B086FE0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F7E93FE" w14:textId="77777777" w:rsidTr="00200376">
        <w:trPr>
          <w:trHeight w:val="85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50A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0DE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КР18-1-6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B704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Розбирання асфальтобетонних покриттів вручну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 (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товщ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5 см, А= 50 м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кв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E67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27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0,0125</w:t>
            </w:r>
          </w:p>
        </w:tc>
        <w:tc>
          <w:tcPr>
            <w:tcW w:w="236" w:type="dxa"/>
            <w:vAlign w:val="center"/>
            <w:hideMark/>
          </w:tcPr>
          <w:p w14:paraId="680C6B55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4CFC5C8" w14:textId="77777777" w:rsidTr="00200376">
        <w:trPr>
          <w:trHeight w:val="4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484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667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КР20-40-1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D68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вручну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813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ECF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76D141A1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1B60FC6" w14:textId="77777777" w:rsidTr="00200376">
        <w:trPr>
          <w:trHeight w:val="7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731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5E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КР20-41-1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977D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F4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F2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0,115</w:t>
            </w:r>
          </w:p>
        </w:tc>
        <w:tc>
          <w:tcPr>
            <w:tcW w:w="236" w:type="dxa"/>
            <w:vAlign w:val="center"/>
            <w:hideMark/>
          </w:tcPr>
          <w:p w14:paraId="0C58B21F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0CCC4193" w14:textId="77777777" w:rsidTr="00200376">
        <w:trPr>
          <w:trHeight w:val="56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7D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353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С311-5-М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749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03B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6FC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7F7A2AE3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57E49E9" w14:textId="77777777" w:rsidTr="00200376">
        <w:trPr>
          <w:trHeight w:val="14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8A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077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КР18-4-1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510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Знімання асфальтобетонних покриттів доріг за допомогою машин для холодного фрезерування асфальтобетонних покриттів окремими місцями площею до 10 м2 шириною фрезерування 500 мм та глибиною фрезерування 50 мм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E87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E6F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6,3</w:t>
            </w:r>
          </w:p>
        </w:tc>
        <w:tc>
          <w:tcPr>
            <w:tcW w:w="236" w:type="dxa"/>
            <w:vAlign w:val="center"/>
            <w:hideMark/>
          </w:tcPr>
          <w:p w14:paraId="6534611C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6DB10A18" w14:textId="77777777" w:rsidTr="00200376">
        <w:trPr>
          <w:trHeight w:val="9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483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DE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КР18-4-2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C32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кожні 10 мм зміни глибини фрезерування додавати або виключати до норми 18-4-1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] (дод. 10 мм, приведення до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товщ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60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77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4D8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B4EEB99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12E5355" w14:textId="77777777" w:rsidTr="00200376">
        <w:trPr>
          <w:trHeight w:val="9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3FC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190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КР18-4-2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к=1,2, К=2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F1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кожні 10 мм зміни глибини фрезерування додавати або виключати до норми 18-4-1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 (дод. 20 мм, приведення до глибини 70 мм)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1F6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0C5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0,3</w:t>
            </w:r>
          </w:p>
        </w:tc>
        <w:tc>
          <w:tcPr>
            <w:tcW w:w="236" w:type="dxa"/>
            <w:vAlign w:val="center"/>
            <w:hideMark/>
          </w:tcPr>
          <w:p w14:paraId="1ACFCE69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C38E195" w14:textId="77777777" w:rsidTr="00200376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BEC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BB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С311-5-М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24D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31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E0F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56,16</w:t>
            </w:r>
          </w:p>
        </w:tc>
        <w:tc>
          <w:tcPr>
            <w:tcW w:w="236" w:type="dxa"/>
            <w:vAlign w:val="center"/>
            <w:hideMark/>
          </w:tcPr>
          <w:p w14:paraId="5B9FCAEE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C514691" w14:textId="77777777" w:rsidTr="00200376">
        <w:trPr>
          <w:trHeight w:val="7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D1C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293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КР18-58-1ЗМ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265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Розливання в'яжучих матеріалів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 (Бітумної емульсії ЕКШ-50, розхід 0,8 л/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E5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F3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0,744</w:t>
            </w:r>
          </w:p>
        </w:tc>
        <w:tc>
          <w:tcPr>
            <w:tcW w:w="236" w:type="dxa"/>
            <w:vAlign w:val="center"/>
            <w:hideMark/>
          </w:tcPr>
          <w:p w14:paraId="6065CC08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010A4D79" w14:textId="77777777" w:rsidTr="00200376">
        <w:trPr>
          <w:trHeight w:val="38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59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2E5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С111-1901-А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F00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Емульсія бітумна,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дорожна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ЕКШ-50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407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69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0,76632</w:t>
            </w:r>
          </w:p>
        </w:tc>
        <w:tc>
          <w:tcPr>
            <w:tcW w:w="236" w:type="dxa"/>
            <w:vAlign w:val="center"/>
            <w:hideMark/>
          </w:tcPr>
          <w:p w14:paraId="3A58F05F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3E7C138" w14:textId="77777777" w:rsidTr="00200376">
        <w:trPr>
          <w:trHeight w:val="84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D01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72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КР18-21-2ЗМ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A1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Улаштування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вирівнювального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56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84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1,2024</w:t>
            </w:r>
          </w:p>
        </w:tc>
        <w:tc>
          <w:tcPr>
            <w:tcW w:w="236" w:type="dxa"/>
            <w:vAlign w:val="center"/>
            <w:hideMark/>
          </w:tcPr>
          <w:p w14:paraId="4366A57F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F8C8B23" w14:textId="77777777" w:rsidTr="0020037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512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1BD1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6A6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ТИП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C05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EDA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8DDE0E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BE591FF" w14:textId="77777777" w:rsidTr="00200376">
        <w:trPr>
          <w:trHeight w:val="115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A59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7C1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КБ27-60-1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AE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 5 см /проведення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B74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1000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DA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2,05</w:t>
            </w:r>
          </w:p>
        </w:tc>
        <w:tc>
          <w:tcPr>
            <w:tcW w:w="236" w:type="dxa"/>
            <w:vAlign w:val="center"/>
            <w:hideMark/>
          </w:tcPr>
          <w:p w14:paraId="05056AF9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75432E4C" w14:textId="77777777" w:rsidTr="00200376">
        <w:trPr>
          <w:trHeight w:val="13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BEA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0E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КБ27-60-3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табл.1 п.1 к(труд)=1,2 к(ЕММ)=1,2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020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фрезерування: на кожен 1 см зміни глибини фрезерування додавати або виключати до/з норм 27-60-1 - 27-60-2 /проведення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робiт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проїзної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1F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1000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F2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79E58599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7E9D2CC2" w14:textId="77777777" w:rsidTr="00200376">
        <w:trPr>
          <w:trHeight w:val="56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33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1DB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С311-5-М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9DAA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14B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595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172</w:t>
            </w:r>
          </w:p>
        </w:tc>
        <w:tc>
          <w:tcPr>
            <w:tcW w:w="236" w:type="dxa"/>
            <w:vAlign w:val="center"/>
            <w:hideMark/>
          </w:tcPr>
          <w:p w14:paraId="1609520B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6A857B21" w14:textId="77777777" w:rsidTr="00200376">
        <w:trPr>
          <w:trHeight w:val="84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1A9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067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КР18-58-1ЗМ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0DE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Розливання в'яжучих матеріалів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 (Бітумної емульсії ЕКШ-50, розхід 0,8 л/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м.кв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F8E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63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1,64</w:t>
            </w:r>
          </w:p>
        </w:tc>
        <w:tc>
          <w:tcPr>
            <w:tcW w:w="236" w:type="dxa"/>
            <w:vAlign w:val="center"/>
            <w:hideMark/>
          </w:tcPr>
          <w:p w14:paraId="402F1D57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659A5B0" w14:textId="77777777" w:rsidTr="00200376">
        <w:trPr>
          <w:trHeight w:val="40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89B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EEF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С111-1901-А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4D19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Емульсія бітумна,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дорожна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ЕКШ-50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A1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C3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1,6892</w:t>
            </w:r>
          </w:p>
        </w:tc>
        <w:tc>
          <w:tcPr>
            <w:tcW w:w="236" w:type="dxa"/>
            <w:vAlign w:val="center"/>
            <w:hideMark/>
          </w:tcPr>
          <w:p w14:paraId="66145DA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97ABFFF" w14:textId="77777777" w:rsidTr="00200376">
        <w:trPr>
          <w:trHeight w:val="9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187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58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КР18-21-1ЗМ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20C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Улаштування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вирівнювального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шару з асфальтобетонної суміші із застосуванням укладальників асфальтобетону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180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62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2,38</w:t>
            </w:r>
          </w:p>
        </w:tc>
        <w:tc>
          <w:tcPr>
            <w:tcW w:w="236" w:type="dxa"/>
            <w:vAlign w:val="center"/>
            <w:hideMark/>
          </w:tcPr>
          <w:p w14:paraId="77B5EE0F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FA46895" w14:textId="77777777" w:rsidTr="00200376">
        <w:trPr>
          <w:trHeight w:val="11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79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6CC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КР18-21-2ЗМ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E5B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Улаштування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вирівнювального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362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AD3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71C50D84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1494F36" w14:textId="77777777" w:rsidTr="0020037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D7B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BB10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A8C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ДОПОМІЖНІ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378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051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6C356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D629B6A" w14:textId="77777777" w:rsidTr="00200376">
        <w:trPr>
          <w:trHeight w:val="38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BD9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E2D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ДБ1-4-1ЗМ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F1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Засипання промоїн і просідань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щебенем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CDD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9D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11,1</w:t>
            </w:r>
          </w:p>
        </w:tc>
        <w:tc>
          <w:tcPr>
            <w:tcW w:w="236" w:type="dxa"/>
            <w:vAlign w:val="center"/>
            <w:hideMark/>
          </w:tcPr>
          <w:p w14:paraId="6CC1AEFA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023FE899" w14:textId="77777777" w:rsidTr="00200376">
        <w:trPr>
          <w:trHeight w:val="6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1D0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887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КР16-91-2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C8F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Заміна цегляних горловин оглядових каналізаційних колодязів на залізобетонні, висота кільця 70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EC45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C5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EE2EA3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BD19570" w14:textId="77777777" w:rsidTr="00200376">
        <w:trPr>
          <w:trHeight w:val="4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D3E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A9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К585521-Л052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0E7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Кільця опорні КО6 залізобетонні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A00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B5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4F6D368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6CD3F4F2" w14:textId="77777777" w:rsidTr="00200376">
        <w:trPr>
          <w:trHeight w:val="3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C9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B4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К585521-Л032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2A5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Плити покриття ПП10-2 залізобетонні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A73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D22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6939E35A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3729E33" w14:textId="77777777" w:rsidTr="00200376">
        <w:trPr>
          <w:trHeight w:val="8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CE6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A4E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КР16-90-3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11E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Ремонт окремих ділянок залізобетонних горловин оглядових каналізаційних колодязів без заміни люка, поверхня з твердим покриттям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BEA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колодязь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519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C513BDF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7226FD82" w14:textId="77777777" w:rsidTr="00200376">
        <w:trPr>
          <w:trHeight w:val="8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93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AA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КР16-90-4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844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Ремонт окремих ділянок залізобетонних горловин оглядових каналізаційних колодязів із заміною люка, поверхня з твердим покриттям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B80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колодязь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5D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9FCCBE5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0B591B8A" w14:textId="77777777" w:rsidTr="00200376">
        <w:trPr>
          <w:trHeight w:val="3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650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0A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КР20-40-1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CC3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вручну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0D6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596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1,282</w:t>
            </w:r>
          </w:p>
        </w:tc>
        <w:tc>
          <w:tcPr>
            <w:tcW w:w="236" w:type="dxa"/>
            <w:vAlign w:val="center"/>
            <w:hideMark/>
          </w:tcPr>
          <w:p w14:paraId="1295793F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689B3A8A" w14:textId="77777777" w:rsidTr="00200376">
        <w:trPr>
          <w:trHeight w:val="6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32B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1EB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С311-5-М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787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941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242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1,282</w:t>
            </w:r>
          </w:p>
        </w:tc>
        <w:tc>
          <w:tcPr>
            <w:tcW w:w="236" w:type="dxa"/>
            <w:vAlign w:val="center"/>
            <w:hideMark/>
          </w:tcPr>
          <w:p w14:paraId="6D65773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65CC3981" w14:textId="77777777" w:rsidTr="00200376">
        <w:trPr>
          <w:trHeight w:val="240"/>
        </w:trPr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BDF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Розділ 2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790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БОРТОВИЙ КАМІНЬ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D1E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26D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ECE2F9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55F40237" w14:textId="77777777" w:rsidTr="00200376">
        <w:trPr>
          <w:trHeight w:val="78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FBE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B84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КР18-2-1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D3E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Розбирання бортових каменів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F9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CD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0,6</w:t>
            </w:r>
          </w:p>
        </w:tc>
        <w:tc>
          <w:tcPr>
            <w:tcW w:w="236" w:type="dxa"/>
            <w:vAlign w:val="center"/>
            <w:hideMark/>
          </w:tcPr>
          <w:p w14:paraId="64135D6D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E9164FC" w14:textId="77777777" w:rsidTr="00200376">
        <w:trPr>
          <w:trHeight w:val="32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17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79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КР20-40-1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C434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вручну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D3B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44C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0,32</w:t>
            </w:r>
          </w:p>
        </w:tc>
        <w:tc>
          <w:tcPr>
            <w:tcW w:w="236" w:type="dxa"/>
            <w:vAlign w:val="center"/>
            <w:hideMark/>
          </w:tcPr>
          <w:p w14:paraId="36921DE3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3A6B8248" w14:textId="77777777" w:rsidTr="00200376">
        <w:trPr>
          <w:trHeight w:val="55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D10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6C8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КР20-41-1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79D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F30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A61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236" w:type="dxa"/>
            <w:vAlign w:val="center"/>
            <w:hideMark/>
          </w:tcPr>
          <w:p w14:paraId="264183D6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4D4F2AF0" w14:textId="77777777" w:rsidTr="00200376">
        <w:trPr>
          <w:trHeight w:val="6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E05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D4D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С311-5-М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EFB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FD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95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4,32</w:t>
            </w:r>
          </w:p>
        </w:tc>
        <w:tc>
          <w:tcPr>
            <w:tcW w:w="236" w:type="dxa"/>
            <w:vAlign w:val="center"/>
            <w:hideMark/>
          </w:tcPr>
          <w:p w14:paraId="6181D82D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198925A2" w14:textId="77777777" w:rsidTr="00200376">
        <w:trPr>
          <w:trHeight w:val="42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04F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5D87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КБ8-2-2ЗМ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9E51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Улаштування основи під фундаменти щебеневої (під дорожній бордюр)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C5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2D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1,8</w:t>
            </w:r>
          </w:p>
        </w:tc>
        <w:tc>
          <w:tcPr>
            <w:tcW w:w="236" w:type="dxa"/>
            <w:vAlign w:val="center"/>
            <w:hideMark/>
          </w:tcPr>
          <w:p w14:paraId="492B347B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02E78E5" w14:textId="77777777" w:rsidTr="00200376">
        <w:trPr>
          <w:trHeight w:val="50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54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DA7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С1421-9464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F400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Щебінь із природного каменю для будівельних робіт, фракція 10-20 мм, марка М600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A66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FF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2,07</w:t>
            </w:r>
          </w:p>
        </w:tc>
        <w:tc>
          <w:tcPr>
            <w:tcW w:w="236" w:type="dxa"/>
            <w:vAlign w:val="center"/>
            <w:hideMark/>
          </w:tcPr>
          <w:p w14:paraId="1F306F67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E14891E" w14:textId="77777777" w:rsidTr="00200376">
        <w:trPr>
          <w:trHeight w:val="80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EB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BA4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КР18-29-1ЗМ  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тех.ч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п.1.2.3 табл.3 п.1 к=1,2    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F92F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Установлення бортових каменів бетонних і залізобетонних при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цементнобетонних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покриттях [на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однiй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половинi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проїжджої частини при систематичному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русi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транспорту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другiй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586A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BA44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236" w:type="dxa"/>
            <w:vAlign w:val="center"/>
            <w:hideMark/>
          </w:tcPr>
          <w:p w14:paraId="075DA1CA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76BC358F" w14:textId="77777777" w:rsidTr="00200376">
        <w:trPr>
          <w:trHeight w:val="4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95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08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КР20-15-10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ED01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Готування важкого бетону на </w:t>
            </w: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щебені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клас бетону В15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412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CA2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0,0585</w:t>
            </w:r>
          </w:p>
        </w:tc>
        <w:tc>
          <w:tcPr>
            <w:tcW w:w="236" w:type="dxa"/>
            <w:vAlign w:val="center"/>
            <w:hideMark/>
          </w:tcPr>
          <w:p w14:paraId="66B63280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69D7" w:rsidRPr="00B80F34" w14:paraId="297735F6" w14:textId="77777777" w:rsidTr="00200376">
        <w:trPr>
          <w:trHeight w:val="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FB8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78E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С1416-8684-А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87E3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Камені</w:t>
            </w:r>
            <w:proofErr w:type="spellEnd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бортові, БР100.30.15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FF7B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0B9" w14:textId="77777777" w:rsidR="001269D7" w:rsidRPr="00200376" w:rsidRDefault="001269D7" w:rsidP="0020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0037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5B6AC0E7" w14:textId="77777777" w:rsidR="001269D7" w:rsidRPr="00B80F34" w:rsidRDefault="001269D7" w:rsidP="00126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5D5DE240" w14:textId="77777777" w:rsidR="001269D7" w:rsidRPr="00B80F34" w:rsidRDefault="001269D7" w:rsidP="001269D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80F34">
        <w:rPr>
          <w:rFonts w:ascii="Times New Roman" w:eastAsia="Times New Roman" w:hAnsi="Times New Roman" w:cs="Times New Roman"/>
          <w:b/>
          <w:i/>
          <w:lang w:eastAsia="ru-RU"/>
        </w:rPr>
        <w:t xml:space="preserve">   Основні характеристики асфальту:</w:t>
      </w:r>
    </w:p>
    <w:p w14:paraId="75BDA0D1" w14:textId="77777777" w:rsidR="001269D7" w:rsidRPr="00B80F34" w:rsidRDefault="001269D7" w:rsidP="001269D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80F34">
        <w:rPr>
          <w:rFonts w:ascii="Times New Roman" w:eastAsia="Times New Roman" w:hAnsi="Times New Roman" w:cs="Times New Roman"/>
          <w:i/>
          <w:lang w:eastAsia="ru-RU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06CF5D87" w14:textId="77777777" w:rsidR="001269D7" w:rsidRPr="00B80F34" w:rsidRDefault="001269D7" w:rsidP="001269D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C43B139" w14:textId="77777777" w:rsidR="001269D7" w:rsidRPr="00B80F34" w:rsidRDefault="001269D7" w:rsidP="001269D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  <w:r w:rsidRPr="00B80F34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        </w:t>
      </w:r>
      <w:r w:rsidRPr="00B80F34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Примітка: </w:t>
      </w:r>
    </w:p>
    <w:p w14:paraId="2BF2C5DA" w14:textId="77777777" w:rsidR="001269D7" w:rsidRPr="00B80F34" w:rsidRDefault="001269D7" w:rsidP="001269D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B80F34">
        <w:rPr>
          <w:rFonts w:ascii="Times New Roman" w:eastAsia="Times New Roman" w:hAnsi="Times New Roman" w:cs="Times New Roman"/>
          <w:i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1B9D167D" w14:textId="77777777" w:rsidR="001269D7" w:rsidRPr="00B80F34" w:rsidRDefault="001269D7" w:rsidP="001269D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B80F34">
        <w:rPr>
          <w:rFonts w:ascii="Times New Roman" w:eastAsia="Times New Roman" w:hAnsi="Times New Roman" w:cs="Times New Roman"/>
          <w:i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7474682A" w14:textId="77777777" w:rsidR="001269D7" w:rsidRPr="00B80F34" w:rsidRDefault="001269D7" w:rsidP="001269D7">
      <w:pPr>
        <w:spacing w:line="256" w:lineRule="auto"/>
        <w:ind w:firstLine="426"/>
        <w:jc w:val="both"/>
        <w:rPr>
          <w:rFonts w:ascii="Times New Roman" w:eastAsia="Calibri" w:hAnsi="Times New Roman" w:cs="Times New Roman"/>
          <w:b/>
          <w:i/>
          <w:lang w:eastAsia="uk-UA"/>
        </w:rPr>
      </w:pPr>
    </w:p>
    <w:p w14:paraId="30CCFA49" w14:textId="26BA7F6A" w:rsidR="001269D7" w:rsidRPr="00B80F34" w:rsidRDefault="004B323B" w:rsidP="001269D7">
      <w:pPr>
        <w:spacing w:line="256" w:lineRule="auto"/>
        <w:ind w:firstLine="426"/>
        <w:jc w:val="both"/>
        <w:rPr>
          <w:rFonts w:ascii="Times New Roman" w:eastAsia="Calibri" w:hAnsi="Times New Roman" w:cs="Times New Roman"/>
          <w:b/>
          <w:i/>
          <w:lang w:eastAsia="uk-UA"/>
        </w:rPr>
      </w:pPr>
      <w:r>
        <w:rPr>
          <w:rFonts w:ascii="Times New Roman" w:eastAsia="Calibri" w:hAnsi="Times New Roman" w:cs="Times New Roman"/>
          <w:b/>
          <w:i/>
          <w:lang w:eastAsia="uk-UA"/>
        </w:rPr>
        <w:t xml:space="preserve"> </w:t>
      </w:r>
      <w:r w:rsidR="001269D7" w:rsidRPr="00B80F34">
        <w:rPr>
          <w:rFonts w:ascii="Times New Roman" w:eastAsia="Calibri" w:hAnsi="Times New Roman" w:cs="Times New Roman"/>
          <w:b/>
          <w:i/>
          <w:lang w:eastAsia="uk-UA"/>
        </w:rPr>
        <w:t>Вимоги до надання послуг:</w:t>
      </w:r>
    </w:p>
    <w:p w14:paraId="42AA9311" w14:textId="77777777" w:rsidR="001269D7" w:rsidRPr="00B80F34" w:rsidRDefault="001269D7" w:rsidP="001269D7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B80F34">
        <w:rPr>
          <w:rFonts w:ascii="Times New Roman" w:eastAsia="Calibri" w:hAnsi="Times New Roman" w:cs="Times New Roman"/>
          <w:i/>
          <w:lang w:eastAsia="ru-RU"/>
        </w:rPr>
        <w:t>Місце надання послуг облаштувати сигнальною стрічкою та попереджувальними дорожніми знаками.</w:t>
      </w:r>
    </w:p>
    <w:p w14:paraId="24D8D722" w14:textId="77777777" w:rsidR="001269D7" w:rsidRPr="00B80F34" w:rsidRDefault="001269D7" w:rsidP="001269D7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B80F34">
        <w:rPr>
          <w:rFonts w:ascii="Times New Roman" w:eastAsia="Calibri" w:hAnsi="Times New Roman" w:cs="Times New Roman"/>
          <w:i/>
          <w:lang w:eastAsia="ru-RU"/>
        </w:rPr>
        <w:t xml:space="preserve">Після завершення робіт </w:t>
      </w:r>
      <w:r w:rsidRPr="00B80F34">
        <w:rPr>
          <w:rFonts w:ascii="Times New Roman" w:eastAsia="Calibri" w:hAnsi="Times New Roman" w:cs="Times New Roman"/>
          <w:i/>
        </w:rPr>
        <w:t>Виконавець</w:t>
      </w:r>
      <w:r w:rsidRPr="00B80F34">
        <w:rPr>
          <w:rFonts w:ascii="Times New Roman" w:eastAsia="Calibri" w:hAnsi="Times New Roman" w:cs="Times New Roman"/>
          <w:i/>
          <w:lang w:eastAsia="ru-RU"/>
        </w:rPr>
        <w:t xml:space="preserve"> повинен прибрати територію, на якій проводились ремонтні роботи. </w:t>
      </w:r>
    </w:p>
    <w:p w14:paraId="2DC1F2AB" w14:textId="77777777" w:rsidR="001269D7" w:rsidRPr="00B80F34" w:rsidRDefault="001269D7" w:rsidP="001269D7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B80F34">
        <w:rPr>
          <w:rFonts w:ascii="Times New Roman" w:eastAsia="Calibri" w:hAnsi="Times New Roman" w:cs="Times New Roman"/>
          <w:i/>
          <w:lang w:eastAsia="ru-RU"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04875042" w14:textId="77777777" w:rsidR="001269D7" w:rsidRPr="00B80F34" w:rsidRDefault="001269D7" w:rsidP="001269D7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B80F34">
        <w:rPr>
          <w:rFonts w:ascii="Times New Roman" w:eastAsia="Calibri" w:hAnsi="Times New Roman" w:cs="Times New Roman"/>
          <w:i/>
          <w:lang w:eastAsia="ru-RU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561EA80D" w14:textId="77777777" w:rsidR="001269D7" w:rsidRPr="00B80F34" w:rsidRDefault="001269D7" w:rsidP="001269D7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B80F34">
        <w:rPr>
          <w:rFonts w:ascii="Times New Roman" w:eastAsia="Calibri" w:hAnsi="Times New Roman" w:cs="Times New Roman"/>
          <w:i/>
          <w:lang w:eastAsia="ru-RU"/>
        </w:rPr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02444B3A" w14:textId="30627238" w:rsidR="001269D7" w:rsidRPr="00864536" w:rsidRDefault="001269D7" w:rsidP="00864536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lang w:eastAsia="ru-RU"/>
        </w:rPr>
      </w:pPr>
      <w:r w:rsidRPr="00B80F34">
        <w:rPr>
          <w:rFonts w:ascii="Times New Roman" w:eastAsia="Calibri" w:hAnsi="Times New Roman" w:cs="Times New Roman"/>
          <w:i/>
          <w:lang w:eastAsia="ru-RU"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398FB7B6" w14:textId="5FA745EE" w:rsidR="004478F0" w:rsidRPr="00B80F34" w:rsidRDefault="004478F0" w:rsidP="004478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76D340" w14:textId="7015FD46" w:rsidR="00E672C1" w:rsidRPr="00B80F34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B80F34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закупівлі </w:t>
      </w:r>
      <w:r w:rsidR="00E64265" w:rsidRPr="00B80F34">
        <w:rPr>
          <w:rFonts w:ascii="Times New Roman" w:eastAsia="Times New Roman" w:hAnsi="Times New Roman" w:cs="Times New Roman"/>
          <w:lang w:eastAsia="uk-UA"/>
        </w:rPr>
        <w:t>«</w:t>
      </w:r>
      <w:r w:rsidR="005E6EED" w:rsidRPr="00B80F34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Поточний ремонт </w:t>
      </w:r>
      <w:proofErr w:type="spellStart"/>
      <w:r w:rsidR="005E6EED" w:rsidRPr="00B80F34">
        <w:rPr>
          <w:rStyle w:val="h-pre-line"/>
          <w:rFonts w:ascii="Times New Roman" w:hAnsi="Times New Roman" w:cs="Times New Roman"/>
          <w:bdr w:val="none" w:sz="0" w:space="0" w:color="auto" w:frame="1"/>
        </w:rPr>
        <w:t>міжквартальних</w:t>
      </w:r>
      <w:proofErr w:type="spellEnd"/>
      <w:r w:rsidR="005E6EED" w:rsidRPr="00B80F34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 проїздів та вулиць Калуської міської територіальної громади Івано-Франківської області</w:t>
      </w:r>
      <w:r w:rsidR="00E64265" w:rsidRPr="00B80F34">
        <w:rPr>
          <w:rFonts w:ascii="Times New Roman" w:hAnsi="Times New Roman" w:cs="Times New Roman"/>
        </w:rPr>
        <w:t>»</w:t>
      </w:r>
      <w:r w:rsidRPr="00B80F34">
        <w:rPr>
          <w:rFonts w:ascii="Times New Roman" w:hAnsi="Times New Roman" w:cs="Times New Roman"/>
          <w:shd w:val="clear" w:color="auto" w:fill="FFFFFF"/>
        </w:rPr>
        <w:t xml:space="preserve">, </w:t>
      </w:r>
      <w:r w:rsidRPr="00B80F34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B80F34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B80F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B80F34">
        <w:rPr>
          <w:rFonts w:ascii="Times New Roman" w:eastAsia="Times New Roman" w:hAnsi="Times New Roman" w:cs="Times New Roman"/>
          <w:lang w:eastAsia="ru-RU"/>
        </w:rPr>
        <w:t>.</w:t>
      </w:r>
      <w:r w:rsidRPr="00B80F34">
        <w:rPr>
          <w:rFonts w:ascii="Times New Roman" w:eastAsia="Times New Roman" w:hAnsi="Times New Roman" w:cs="Times New Roman"/>
          <w:lang w:val="en-US" w:eastAsia="ru-RU"/>
        </w:rPr>
        <w:t>gov</w:t>
      </w:r>
      <w:r w:rsidRPr="00B80F34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B80F34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B80F34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10691DB5" w:rsidR="00E672C1" w:rsidRPr="00B80F34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80F34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B80F3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B80F34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CE434D" w:rsidRPr="00B80F34">
        <w:rPr>
          <w:rFonts w:ascii="Times New Roman" w:eastAsia="Times New Roman" w:hAnsi="Times New Roman" w:cs="Times New Roman"/>
          <w:b/>
          <w:u w:val="single"/>
          <w:lang w:val="ru-RU" w:eastAsia="ru-RU"/>
        </w:rPr>
        <w:t>00:00 год. 07</w:t>
      </w:r>
      <w:r w:rsidRPr="00B80F34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proofErr w:type="spellStart"/>
      <w:r w:rsidR="00CE434D" w:rsidRPr="00B80F34">
        <w:rPr>
          <w:rFonts w:ascii="Times New Roman" w:eastAsia="Times New Roman" w:hAnsi="Times New Roman" w:cs="Times New Roman"/>
          <w:b/>
          <w:u w:val="single"/>
          <w:lang w:val="ru-RU" w:eastAsia="ru-RU"/>
        </w:rPr>
        <w:t>квітня</w:t>
      </w:r>
      <w:proofErr w:type="spellEnd"/>
      <w:r w:rsidRPr="00B80F34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565D4184" w14:textId="77777777" w:rsidR="00E672C1" w:rsidRPr="00B80F34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4E336998" w14:textId="470E804E" w:rsidR="00EF1665" w:rsidRPr="00B80F34" w:rsidRDefault="00EF1665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25CFE1D" w14:textId="148D66D8" w:rsidR="00E34A99" w:rsidRPr="00B80F34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FAF2AD0" w14:textId="4E0A25D5" w:rsidR="00E34A99" w:rsidRPr="00B80F34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F5276AD" w14:textId="15CD7677" w:rsidR="00E34A99" w:rsidRPr="00B80F34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448ABEF" w14:textId="77777777" w:rsidR="00E34A99" w:rsidRPr="00B80F34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53F228" w14:textId="77777777" w:rsidR="00E672C1" w:rsidRPr="00B80F34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80F34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B80F34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80F34">
        <w:rPr>
          <w:rFonts w:ascii="Times New Roman" w:eastAsia="Times New Roman" w:hAnsi="Times New Roman" w:cs="Times New Roman"/>
          <w:lang w:eastAsia="uk-UA"/>
        </w:rPr>
        <w:t>Н</w:t>
      </w:r>
      <w:r w:rsidR="00E672C1" w:rsidRPr="00B80F34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B80F34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B80F34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B80F34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B80F34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B80F34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58435771" w14:textId="77777777" w:rsidR="00E672C1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7E7D5E" w14:textId="77777777" w:rsidR="00E672C1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9E234D8" w14:textId="524CFE34" w:rsidR="00A42835" w:rsidRPr="00CD44F6" w:rsidRDefault="00A4283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EC0EDB9" w14:textId="7A6CD46E" w:rsidR="00EF1665" w:rsidRPr="00CD44F6" w:rsidRDefault="00EF166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C1E747A" w14:textId="12F8BB0E" w:rsidR="00EF1665" w:rsidRDefault="00EF166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B2CC9A5" w14:textId="3040BCAC" w:rsidR="00E34A99" w:rsidRDefault="00E34A99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3BEF870" w14:textId="4104302C" w:rsidR="00BB6B88" w:rsidRPr="00CD44F6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1303C43" w14:textId="77777777" w:rsidR="00BB6B88" w:rsidRPr="00CD44F6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123555" w14:textId="77777777" w:rsidR="00055D42" w:rsidRPr="00CD44F6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394E941" w14:textId="77777777" w:rsidR="00E672C1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2C52153" w14:textId="77777777" w:rsidR="00E672C1" w:rsidRPr="00CD44F6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Заступник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 xml:space="preserve"> міського голови</w:t>
      </w:r>
      <w:r w:rsidR="00972AC9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0F9C6EA2" w14:textId="77777777" w:rsidR="00BA19BA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>Богдан</w:t>
      </w:r>
      <w:r w:rsidR="00972AC9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>БІЛЕЦЬКИЙ</w:t>
      </w:r>
    </w:p>
    <w:p w14:paraId="7F4CEB87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p w14:paraId="44F4A077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BCC9F9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209D4002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C0A1A1" w14:textId="4A30516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FCBE9" w14:textId="052E8E47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14EB18" w14:textId="4B8BE57D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EFCA38" w14:textId="1A2DB012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86154" w14:textId="534AB599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57F80" w14:textId="5D99584B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A9B7FA" w14:textId="0D03CEF6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275E60" w14:textId="77777777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057827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2B24E3" w14:textId="3432BBAF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956EA4A" w14:textId="3666D7D3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72834F" w14:textId="1E243662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47086B" w14:textId="361AE144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40B2DD" w14:textId="0D1A94DE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CDAE30" w14:textId="20A0415B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F7F256" w14:textId="4918A283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1F4A30" w14:textId="386E0208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50CAA4" w14:textId="097AD856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CD44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9E"/>
    <w:rsid w:val="000256F9"/>
    <w:rsid w:val="00033F9F"/>
    <w:rsid w:val="00055D42"/>
    <w:rsid w:val="000B0106"/>
    <w:rsid w:val="001269D7"/>
    <w:rsid w:val="0015100B"/>
    <w:rsid w:val="001D0A1B"/>
    <w:rsid w:val="001E576B"/>
    <w:rsid w:val="001F2F1B"/>
    <w:rsid w:val="00200376"/>
    <w:rsid w:val="00291E20"/>
    <w:rsid w:val="00315FEA"/>
    <w:rsid w:val="0033452C"/>
    <w:rsid w:val="00346EFF"/>
    <w:rsid w:val="0035227F"/>
    <w:rsid w:val="0037445C"/>
    <w:rsid w:val="00386DB1"/>
    <w:rsid w:val="00397CC4"/>
    <w:rsid w:val="003B3958"/>
    <w:rsid w:val="003B48E7"/>
    <w:rsid w:val="003D5006"/>
    <w:rsid w:val="00436C6C"/>
    <w:rsid w:val="004478F0"/>
    <w:rsid w:val="00461E1F"/>
    <w:rsid w:val="004B323B"/>
    <w:rsid w:val="005209B6"/>
    <w:rsid w:val="005E6EED"/>
    <w:rsid w:val="00653DCE"/>
    <w:rsid w:val="00684215"/>
    <w:rsid w:val="00691C6C"/>
    <w:rsid w:val="006D6092"/>
    <w:rsid w:val="00722153"/>
    <w:rsid w:val="00724490"/>
    <w:rsid w:val="00775785"/>
    <w:rsid w:val="007818B6"/>
    <w:rsid w:val="00781D98"/>
    <w:rsid w:val="007B2DAA"/>
    <w:rsid w:val="007D4901"/>
    <w:rsid w:val="00815134"/>
    <w:rsid w:val="0086089E"/>
    <w:rsid w:val="00864536"/>
    <w:rsid w:val="00890C5C"/>
    <w:rsid w:val="00901D38"/>
    <w:rsid w:val="00922942"/>
    <w:rsid w:val="00932A03"/>
    <w:rsid w:val="00972AC9"/>
    <w:rsid w:val="00A25BAC"/>
    <w:rsid w:val="00A26BAB"/>
    <w:rsid w:val="00A31264"/>
    <w:rsid w:val="00A36BD7"/>
    <w:rsid w:val="00A42835"/>
    <w:rsid w:val="00A46CCB"/>
    <w:rsid w:val="00A521C0"/>
    <w:rsid w:val="00A53583"/>
    <w:rsid w:val="00AD0FA6"/>
    <w:rsid w:val="00AE309D"/>
    <w:rsid w:val="00B46776"/>
    <w:rsid w:val="00B53BFD"/>
    <w:rsid w:val="00B80F34"/>
    <w:rsid w:val="00BA19BA"/>
    <w:rsid w:val="00BB6B88"/>
    <w:rsid w:val="00BC5818"/>
    <w:rsid w:val="00BF725D"/>
    <w:rsid w:val="00C63310"/>
    <w:rsid w:val="00C735DC"/>
    <w:rsid w:val="00C86597"/>
    <w:rsid w:val="00CD44F6"/>
    <w:rsid w:val="00CE434D"/>
    <w:rsid w:val="00D0108E"/>
    <w:rsid w:val="00DD4553"/>
    <w:rsid w:val="00E106D0"/>
    <w:rsid w:val="00E16C03"/>
    <w:rsid w:val="00E34A99"/>
    <w:rsid w:val="00E61525"/>
    <w:rsid w:val="00E64265"/>
    <w:rsid w:val="00E672C1"/>
    <w:rsid w:val="00E710FB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86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7861</Words>
  <Characters>4482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2026-03-31T08:12:00Z</cp:lastPrinted>
  <dcterms:created xsi:type="dcterms:W3CDTF">2026-04-01T07:18:00Z</dcterms:created>
  <dcterms:modified xsi:type="dcterms:W3CDTF">2026-04-01T07:18:00Z</dcterms:modified>
</cp:coreProperties>
</file>