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9E2" w:rsidRDefault="003D19E2" w:rsidP="003D19E2">
      <w:pPr>
        <w:jc w:val="both"/>
        <w:rPr>
          <w:color w:val="000000"/>
          <w:sz w:val="27"/>
          <w:szCs w:val="27"/>
        </w:rPr>
      </w:pPr>
      <w:bookmarkStart w:id="0" w:name="_GoBack"/>
      <w:r>
        <w:rPr>
          <w:b/>
          <w:bCs/>
          <w:color w:val="000080"/>
        </w:rPr>
        <w:t>Житлове будівництво за районами Івано-Франківської області</w:t>
      </w:r>
    </w:p>
    <w:p w:rsidR="003D19E2" w:rsidRDefault="003D19E2" w:rsidP="003D19E2">
      <w:pPr>
        <w:jc w:val="both"/>
        <w:rPr>
          <w:color w:val="000000"/>
          <w:sz w:val="27"/>
          <w:szCs w:val="27"/>
        </w:rPr>
      </w:pPr>
      <w:r>
        <w:rPr>
          <w:b/>
          <w:bCs/>
          <w:color w:val="000080"/>
        </w:rPr>
        <w:t>у січні–червні 2025  року</w:t>
      </w:r>
    </w:p>
    <w:bookmarkEnd w:id="0"/>
    <w:p w:rsidR="003D19E2" w:rsidRDefault="003D19E2" w:rsidP="003D19E2">
      <w:pPr>
        <w:ind w:firstLine="720"/>
        <w:jc w:val="both"/>
        <w:rPr>
          <w:color w:val="000000"/>
          <w:sz w:val="27"/>
          <w:szCs w:val="27"/>
        </w:rPr>
      </w:pPr>
      <w:r>
        <w:rPr>
          <w:color w:val="FF0000"/>
          <w:sz w:val="27"/>
          <w:szCs w:val="27"/>
        </w:rPr>
        <w:t> </w:t>
      </w:r>
    </w:p>
    <w:p w:rsidR="003D19E2" w:rsidRDefault="003D19E2" w:rsidP="003D19E2">
      <w:pPr>
        <w:pStyle w:val="a4"/>
        <w:spacing w:before="0" w:beforeAutospacing="0" w:after="0" w:afterAutospacing="0"/>
        <w:ind w:firstLine="540"/>
        <w:jc w:val="both"/>
        <w:textAlignment w:val="baseline"/>
        <w:rPr>
          <w:sz w:val="27"/>
          <w:szCs w:val="27"/>
        </w:rPr>
      </w:pPr>
      <w:r>
        <w:rPr>
          <w:sz w:val="27"/>
          <w:szCs w:val="27"/>
        </w:rPr>
        <w:t>Головне управління статистики в Івано-Франківській області інформує.</w:t>
      </w:r>
      <w:r>
        <w:rPr>
          <w:color w:val="FF0000"/>
          <w:sz w:val="27"/>
          <w:szCs w:val="27"/>
        </w:rPr>
        <w:t> </w:t>
      </w:r>
      <w:r>
        <w:rPr>
          <w:sz w:val="27"/>
          <w:szCs w:val="27"/>
        </w:rPr>
        <w:t>У січні–червні 2025 року на території області прийнято в експлуатацію   312,7 тис.м</w:t>
      </w:r>
      <w:r>
        <w:rPr>
          <w:sz w:val="27"/>
          <w:szCs w:val="27"/>
          <w:vertAlign w:val="superscript"/>
        </w:rPr>
        <w:t>2</w:t>
      </w:r>
      <w:r>
        <w:rPr>
          <w:sz w:val="27"/>
          <w:szCs w:val="27"/>
        </w:rPr>
        <w:t> загальної площі житлових будинків з нового будівництва (з урахуванням дачних  і  садових будинків), що на 3,1% менше, ніж у січні–червні 2024  року.</w:t>
      </w:r>
      <w:r>
        <w:rPr>
          <w:color w:val="FF0000"/>
          <w:sz w:val="27"/>
          <w:szCs w:val="27"/>
        </w:rPr>
        <w:t> </w:t>
      </w:r>
    </w:p>
    <w:p w:rsidR="003D19E2" w:rsidRDefault="003D19E2" w:rsidP="003D19E2">
      <w:pPr>
        <w:pStyle w:val="a4"/>
        <w:spacing w:before="0" w:beforeAutospacing="0" w:after="0" w:afterAutospacing="0"/>
        <w:ind w:firstLine="540"/>
        <w:jc w:val="both"/>
        <w:textAlignment w:val="baseline"/>
        <w:rPr>
          <w:sz w:val="27"/>
          <w:szCs w:val="27"/>
        </w:rPr>
      </w:pPr>
      <w:r>
        <w:rPr>
          <w:sz w:val="27"/>
          <w:szCs w:val="27"/>
        </w:rPr>
        <w:t>У порівнянні з відповідним періодом попереднього року зменшення обсягів прийнятого в експлуатацію житла відбулося в усіх районах області:  у Косівському –  на  28,9%, Верховинському – на  7,6%,</w:t>
      </w:r>
      <w:r>
        <w:rPr>
          <w:color w:val="FF0000"/>
          <w:sz w:val="27"/>
          <w:szCs w:val="27"/>
        </w:rPr>
        <w:t>  </w:t>
      </w:r>
      <w:r>
        <w:rPr>
          <w:sz w:val="27"/>
          <w:szCs w:val="27"/>
        </w:rPr>
        <w:t>Калуському – на  6,2%, Коломийському –  на </w:t>
      </w:r>
      <w:r>
        <w:rPr>
          <w:color w:val="FF0000"/>
          <w:sz w:val="27"/>
          <w:szCs w:val="27"/>
        </w:rPr>
        <w:t> </w:t>
      </w:r>
      <w:r>
        <w:rPr>
          <w:sz w:val="27"/>
          <w:szCs w:val="27"/>
        </w:rPr>
        <w:t xml:space="preserve">4,3%, </w:t>
      </w:r>
      <w:proofErr w:type="spellStart"/>
      <w:r>
        <w:rPr>
          <w:sz w:val="27"/>
          <w:szCs w:val="27"/>
        </w:rPr>
        <w:t>Надвірнянському</w:t>
      </w:r>
      <w:proofErr w:type="spellEnd"/>
      <w:r>
        <w:rPr>
          <w:sz w:val="27"/>
          <w:szCs w:val="27"/>
        </w:rPr>
        <w:t xml:space="preserve"> – на 4,1%, Івано-Франківському – на 1,4%.</w:t>
      </w:r>
    </w:p>
    <w:p w:rsidR="003D19E2" w:rsidRDefault="003D19E2" w:rsidP="003D19E2">
      <w:pPr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 обсягами прийнятого в експлуатацію житла першість посідає Івано-Франківський район – 223 тис.м</w:t>
      </w:r>
      <w:r>
        <w:rPr>
          <w:color w:val="000000"/>
          <w:sz w:val="27"/>
          <w:szCs w:val="27"/>
          <w:vertAlign w:val="superscript"/>
        </w:rPr>
        <w:t>2</w:t>
      </w:r>
      <w:r>
        <w:rPr>
          <w:color w:val="000000"/>
          <w:sz w:val="27"/>
          <w:szCs w:val="27"/>
        </w:rPr>
        <w:t> або 71,3% загальної площі  новозбудованих житлових будинків  по області.</w:t>
      </w:r>
      <w:r>
        <w:rPr>
          <w:color w:val="FF0000"/>
          <w:sz w:val="27"/>
          <w:szCs w:val="27"/>
        </w:rPr>
        <w:t> </w:t>
      </w:r>
      <w:r>
        <w:rPr>
          <w:color w:val="000000"/>
          <w:sz w:val="27"/>
          <w:szCs w:val="27"/>
        </w:rPr>
        <w:t>Також значними були частки</w:t>
      </w:r>
      <w:r>
        <w:rPr>
          <w:color w:val="FF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Надвірнянського</w:t>
      </w:r>
      <w:proofErr w:type="spellEnd"/>
      <w:r>
        <w:rPr>
          <w:color w:val="000000"/>
          <w:sz w:val="27"/>
          <w:szCs w:val="27"/>
        </w:rPr>
        <w:t xml:space="preserve"> (10,2% або 31,9 тис.м</w:t>
      </w:r>
      <w:r>
        <w:rPr>
          <w:color w:val="000000"/>
          <w:sz w:val="27"/>
          <w:szCs w:val="27"/>
          <w:vertAlign w:val="superscript"/>
        </w:rPr>
        <w:t>2</w:t>
      </w:r>
      <w:r>
        <w:rPr>
          <w:color w:val="000000"/>
          <w:sz w:val="27"/>
          <w:szCs w:val="27"/>
        </w:rPr>
        <w:t>),</w:t>
      </w:r>
      <w:r>
        <w:rPr>
          <w:color w:val="FF0000"/>
          <w:sz w:val="27"/>
          <w:szCs w:val="27"/>
        </w:rPr>
        <w:t> </w:t>
      </w:r>
      <w:r>
        <w:rPr>
          <w:color w:val="000000"/>
          <w:sz w:val="27"/>
          <w:szCs w:val="27"/>
        </w:rPr>
        <w:t>Калуського (8,3% або 26 тис.м</w:t>
      </w:r>
      <w:r>
        <w:rPr>
          <w:color w:val="000000"/>
          <w:sz w:val="27"/>
          <w:szCs w:val="27"/>
          <w:vertAlign w:val="superscript"/>
        </w:rPr>
        <w:t>2</w:t>
      </w:r>
      <w:r>
        <w:rPr>
          <w:color w:val="000000"/>
          <w:sz w:val="27"/>
          <w:szCs w:val="27"/>
        </w:rPr>
        <w:t>) та</w:t>
      </w:r>
      <w:r>
        <w:rPr>
          <w:color w:val="FF0000"/>
          <w:sz w:val="27"/>
          <w:szCs w:val="27"/>
        </w:rPr>
        <w:t> </w:t>
      </w:r>
      <w:r>
        <w:rPr>
          <w:color w:val="000000"/>
          <w:sz w:val="27"/>
          <w:szCs w:val="27"/>
        </w:rPr>
        <w:t>Коломийського (6,3% або 19,6 тис.м</w:t>
      </w:r>
      <w:r>
        <w:rPr>
          <w:color w:val="000000"/>
          <w:sz w:val="27"/>
          <w:szCs w:val="27"/>
          <w:vertAlign w:val="superscript"/>
        </w:rPr>
        <w:t>2</w:t>
      </w:r>
      <w:r>
        <w:rPr>
          <w:color w:val="000000"/>
          <w:sz w:val="27"/>
          <w:szCs w:val="27"/>
        </w:rPr>
        <w:t>) районів; частки Верховинського та Косівського районів склали 2% (6,3 тис.м</w:t>
      </w:r>
      <w:r>
        <w:rPr>
          <w:color w:val="000000"/>
          <w:sz w:val="27"/>
          <w:szCs w:val="27"/>
          <w:vertAlign w:val="superscript"/>
        </w:rPr>
        <w:t>2</w:t>
      </w:r>
      <w:r>
        <w:rPr>
          <w:color w:val="000000"/>
          <w:sz w:val="27"/>
          <w:szCs w:val="27"/>
        </w:rPr>
        <w:t>) та 1,9% (5,9 тис.м</w:t>
      </w:r>
      <w:r>
        <w:rPr>
          <w:color w:val="000000"/>
          <w:sz w:val="27"/>
          <w:szCs w:val="27"/>
          <w:vertAlign w:val="superscript"/>
        </w:rPr>
        <w:t>2</w:t>
      </w:r>
      <w:r>
        <w:rPr>
          <w:color w:val="000000"/>
          <w:sz w:val="27"/>
          <w:szCs w:val="27"/>
        </w:rPr>
        <w:t>)  відповідно.</w:t>
      </w:r>
    </w:p>
    <w:p w:rsidR="003D19E2" w:rsidRDefault="003D19E2" w:rsidP="003D19E2">
      <w:pPr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Івано-Франківському районі 70,6% загальної площі прийнятого в експлуатацію житла  припадає на будинки з двома та більше квартирами.</w:t>
      </w:r>
      <w:r>
        <w:rPr>
          <w:color w:val="FF0000"/>
          <w:sz w:val="27"/>
          <w:szCs w:val="27"/>
        </w:rPr>
        <w:t> </w:t>
      </w:r>
      <w:r>
        <w:rPr>
          <w:color w:val="000000"/>
          <w:sz w:val="27"/>
          <w:szCs w:val="27"/>
        </w:rPr>
        <w:t>В усіх інших районах області переважало будівництво одноквартирних житлових будинків (від 94,4% до 100% загального обсягу по району).</w:t>
      </w:r>
    </w:p>
    <w:p w:rsidR="003D19E2" w:rsidRDefault="003D19E2" w:rsidP="003D19E2">
      <w:pPr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Більшим, ніж в середньому по області (81,8 м</w:t>
      </w:r>
      <w:r>
        <w:rPr>
          <w:color w:val="000000"/>
          <w:sz w:val="27"/>
          <w:szCs w:val="27"/>
          <w:vertAlign w:val="superscript"/>
        </w:rPr>
        <w:t>2 </w:t>
      </w:r>
      <w:r>
        <w:rPr>
          <w:color w:val="000000"/>
          <w:sz w:val="27"/>
          <w:szCs w:val="27"/>
        </w:rPr>
        <w:t>загальної площі), був середній розмір одного новозбудованого помешкання у Калуському (141,9 м</w:t>
      </w:r>
      <w:r>
        <w:rPr>
          <w:color w:val="000000"/>
          <w:sz w:val="27"/>
          <w:szCs w:val="27"/>
          <w:vertAlign w:val="superscript"/>
        </w:rPr>
        <w:t>2</w:t>
      </w:r>
      <w:r>
        <w:rPr>
          <w:color w:val="000000"/>
          <w:sz w:val="27"/>
          <w:szCs w:val="27"/>
        </w:rPr>
        <w:t xml:space="preserve">), </w:t>
      </w:r>
      <w:proofErr w:type="spellStart"/>
      <w:r>
        <w:rPr>
          <w:color w:val="000000"/>
          <w:sz w:val="27"/>
          <w:szCs w:val="27"/>
        </w:rPr>
        <w:t>Надвірнянському</w:t>
      </w:r>
      <w:proofErr w:type="spellEnd"/>
      <w:r>
        <w:rPr>
          <w:color w:val="000000"/>
          <w:sz w:val="27"/>
          <w:szCs w:val="27"/>
        </w:rPr>
        <w:t xml:space="preserve"> (114,4 м</w:t>
      </w:r>
      <w:r>
        <w:rPr>
          <w:color w:val="000000"/>
          <w:sz w:val="27"/>
          <w:szCs w:val="27"/>
          <w:vertAlign w:val="superscript"/>
        </w:rPr>
        <w:t>2</w:t>
      </w:r>
      <w:r>
        <w:rPr>
          <w:color w:val="000000"/>
          <w:sz w:val="27"/>
          <w:szCs w:val="27"/>
        </w:rPr>
        <w:t>), Коломийському (109,9 м</w:t>
      </w:r>
      <w:r>
        <w:rPr>
          <w:color w:val="000000"/>
          <w:sz w:val="27"/>
          <w:szCs w:val="27"/>
          <w:vertAlign w:val="superscript"/>
        </w:rPr>
        <w:t>2</w:t>
      </w:r>
      <w:r>
        <w:rPr>
          <w:color w:val="000000"/>
          <w:sz w:val="27"/>
          <w:szCs w:val="27"/>
        </w:rPr>
        <w:t>), Косівському (105,2 м</w:t>
      </w:r>
      <w:r>
        <w:rPr>
          <w:color w:val="000000"/>
          <w:sz w:val="27"/>
          <w:szCs w:val="27"/>
          <w:vertAlign w:val="superscript"/>
        </w:rPr>
        <w:t>2</w:t>
      </w:r>
      <w:r>
        <w:rPr>
          <w:color w:val="000000"/>
          <w:sz w:val="27"/>
          <w:szCs w:val="27"/>
        </w:rPr>
        <w:t>)</w:t>
      </w:r>
      <w:r>
        <w:rPr>
          <w:color w:val="FF0000"/>
          <w:sz w:val="27"/>
          <w:szCs w:val="27"/>
        </w:rPr>
        <w:t>  </w:t>
      </w:r>
      <w:r>
        <w:rPr>
          <w:color w:val="000000"/>
          <w:sz w:val="27"/>
          <w:szCs w:val="27"/>
        </w:rPr>
        <w:t>та</w:t>
      </w:r>
      <w:r>
        <w:rPr>
          <w:color w:val="FF0000"/>
          <w:sz w:val="27"/>
          <w:szCs w:val="27"/>
        </w:rPr>
        <w:t> </w:t>
      </w:r>
      <w:r>
        <w:rPr>
          <w:color w:val="000000"/>
          <w:sz w:val="27"/>
          <w:szCs w:val="27"/>
        </w:rPr>
        <w:t>Верховинському (93,2 м</w:t>
      </w:r>
      <w:r>
        <w:rPr>
          <w:color w:val="000000"/>
          <w:sz w:val="27"/>
          <w:szCs w:val="27"/>
          <w:vertAlign w:val="superscript"/>
        </w:rPr>
        <w:t>2</w:t>
      </w:r>
      <w:r>
        <w:rPr>
          <w:color w:val="000000"/>
          <w:sz w:val="27"/>
          <w:szCs w:val="27"/>
        </w:rPr>
        <w:t>) районах.  Розмір  одного  новозбудованого помешкання у Івано-Франківському районі становив 72,9 м</w:t>
      </w:r>
      <w:r>
        <w:rPr>
          <w:color w:val="000000"/>
          <w:sz w:val="27"/>
          <w:szCs w:val="27"/>
          <w:vertAlign w:val="superscript"/>
        </w:rPr>
        <w:t>2</w:t>
      </w:r>
      <w:r>
        <w:rPr>
          <w:color w:val="000000"/>
          <w:sz w:val="27"/>
          <w:szCs w:val="27"/>
        </w:rPr>
        <w:t>.</w:t>
      </w:r>
    </w:p>
    <w:p w:rsidR="003D19E2" w:rsidRDefault="003D19E2" w:rsidP="003D19E2">
      <w:pPr>
        <w:ind w:firstLine="720"/>
        <w:jc w:val="both"/>
        <w:rPr>
          <w:color w:val="000000"/>
          <w:sz w:val="27"/>
          <w:szCs w:val="27"/>
        </w:rPr>
      </w:pPr>
      <w:r>
        <w:rPr>
          <w:color w:val="FF0000"/>
        </w:rPr>
        <w:t> </w:t>
      </w:r>
    </w:p>
    <w:p w:rsidR="003D19E2" w:rsidRDefault="003D19E2" w:rsidP="003D19E2">
      <w:p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3D19E2" w:rsidRDefault="003D19E2" w:rsidP="003D19E2">
      <w:pPr>
        <w:pStyle w:val="a4"/>
        <w:spacing w:before="0" w:beforeAutospacing="0" w:after="0" w:afterAutospacing="0"/>
        <w:jc w:val="both"/>
        <w:rPr>
          <w:sz w:val="27"/>
          <w:szCs w:val="27"/>
        </w:rPr>
      </w:pPr>
      <w:proofErr w:type="spellStart"/>
      <w:r>
        <w:rPr>
          <w:sz w:val="27"/>
          <w:szCs w:val="27"/>
          <w:lang w:val="ru-RU"/>
        </w:rPr>
        <w:t>Довідки</w:t>
      </w:r>
      <w:proofErr w:type="spellEnd"/>
      <w:r>
        <w:rPr>
          <w:sz w:val="27"/>
          <w:szCs w:val="27"/>
          <w:lang w:val="ru-RU"/>
        </w:rPr>
        <w:t xml:space="preserve"> за телефоном: (0342) </w:t>
      </w:r>
      <w:r>
        <w:rPr>
          <w:sz w:val="27"/>
          <w:szCs w:val="27"/>
        </w:rPr>
        <w:t>79</w:t>
      </w:r>
      <w:r>
        <w:rPr>
          <w:sz w:val="27"/>
          <w:szCs w:val="27"/>
          <w:lang w:val="ru-RU"/>
        </w:rPr>
        <w:t> </w:t>
      </w:r>
      <w:r>
        <w:rPr>
          <w:sz w:val="27"/>
          <w:szCs w:val="27"/>
        </w:rPr>
        <w:t>20</w:t>
      </w:r>
      <w:r>
        <w:rPr>
          <w:sz w:val="27"/>
          <w:szCs w:val="27"/>
          <w:lang w:val="ru-RU"/>
        </w:rPr>
        <w:t> 0</w:t>
      </w:r>
      <w:r w:rsidRPr="003D19E2">
        <w:rPr>
          <w:sz w:val="27"/>
          <w:szCs w:val="27"/>
          <w:lang w:val="ru-RU"/>
        </w:rPr>
        <w:t>1</w:t>
      </w:r>
    </w:p>
    <w:p w:rsidR="003D19E2" w:rsidRDefault="003D19E2" w:rsidP="003D19E2">
      <w:pPr>
        <w:pStyle w:val="a4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Більше </w:t>
      </w:r>
      <w:proofErr w:type="spellStart"/>
      <w:r>
        <w:rPr>
          <w:sz w:val="27"/>
          <w:szCs w:val="27"/>
        </w:rPr>
        <w:t>інформаціїі</w:t>
      </w:r>
      <w:proofErr w:type="spellEnd"/>
      <w:r>
        <w:rPr>
          <w:color w:val="0000FF"/>
          <w:sz w:val="27"/>
          <w:szCs w:val="27"/>
        </w:rPr>
        <w:t>: </w:t>
      </w:r>
      <w:hyperlink r:id="rId4" w:history="1">
        <w:r>
          <w:rPr>
            <w:rStyle w:val="a3"/>
            <w:sz w:val="27"/>
            <w:szCs w:val="27"/>
          </w:rPr>
          <w:t>https://ifstat.gov.ua/EX_IN/EX-BUD.htm</w:t>
        </w:r>
      </w:hyperlink>
    </w:p>
    <w:p w:rsidR="003D19E2" w:rsidRDefault="003D19E2" w:rsidP="003D19E2">
      <w:pPr>
        <w:ind w:right="3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3D19E2" w:rsidRDefault="003D19E2" w:rsidP="003D19E2">
      <w:pPr>
        <w:ind w:right="3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© Головне управління статистики в Івано-Франківській області, 2025</w:t>
      </w:r>
    </w:p>
    <w:p w:rsidR="003D19E2" w:rsidRDefault="003D19E2" w:rsidP="003D19E2">
      <w:pPr>
        <w:ind w:right="3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При використанні інформації, посилання на Головне управління статистики в Івано-Франківській області </w:t>
      </w:r>
      <w:r>
        <w:rPr>
          <w:i/>
          <w:iCs/>
          <w:color w:val="000000"/>
          <w:sz w:val="27"/>
          <w:szCs w:val="27"/>
        </w:rPr>
        <w:t>ОБОВ’ЯЗКОВЕ.</w:t>
      </w:r>
    </w:p>
    <w:p w:rsidR="003D19E2" w:rsidRDefault="003D19E2" w:rsidP="003D19E2">
      <w:pPr>
        <w:ind w:right="30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9A44F4" w:rsidRPr="003D19E2" w:rsidRDefault="009A44F4" w:rsidP="003D19E2"/>
    <w:sectPr w:rsidR="009A44F4" w:rsidRPr="003D19E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02F"/>
    <w:rsid w:val="00056755"/>
    <w:rsid w:val="0016002F"/>
    <w:rsid w:val="003D19E2"/>
    <w:rsid w:val="009A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8FEC72-56C1-4B0B-AD99-6921E1416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5675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56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styleId="a5">
    <w:name w:val="Body Text"/>
    <w:basedOn w:val="a"/>
    <w:link w:val="a6"/>
    <w:uiPriority w:val="99"/>
    <w:semiHidden/>
    <w:unhideWhenUsed/>
    <w:rsid w:val="00056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customStyle="1" w:styleId="a6">
    <w:name w:val="Основной текст Знак"/>
    <w:basedOn w:val="a0"/>
    <w:link w:val="a5"/>
    <w:uiPriority w:val="99"/>
    <w:semiHidden/>
    <w:rsid w:val="00056755"/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6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fstat.gov.ua/EX_IN/EX-BUD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1322</Words>
  <Characters>755</Characters>
  <Application>Microsoft Office Word</Application>
  <DocSecurity>0</DocSecurity>
  <Lines>6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2025-09-29T08:30:00Z</dcterms:created>
  <dcterms:modified xsi:type="dcterms:W3CDTF">2025-09-29T08:36:00Z</dcterms:modified>
</cp:coreProperties>
</file>