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53" w:rsidRPr="00495B2B" w:rsidRDefault="00122B53" w:rsidP="00122B53">
      <w:pPr>
        <w:shd w:val="clear" w:color="auto" w:fill="FFFFFF"/>
        <w:jc w:val="center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bookmarkStart w:id="0" w:name="_GoBack"/>
      <w:r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Звіт про роботу управління комунальної власності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Калуської міської ради за 2024 рік</w:t>
      </w:r>
    </w:p>
    <w:p w:rsidR="00122B53" w:rsidRPr="00495B2B" w:rsidRDefault="00122B53" w:rsidP="00122B53">
      <w:pPr>
        <w:shd w:val="clear" w:color="auto" w:fill="FFFFFF"/>
        <w:rPr>
          <w:rFonts w:eastAsia="Times New Roman" w:cs="Times New Roman"/>
          <w:i/>
          <w:color w:val="000000" w:themeColor="text1"/>
          <w:sz w:val="26"/>
          <w:szCs w:val="26"/>
          <w:lang w:val="uk-UA" w:eastAsia="uk-UA"/>
        </w:rPr>
      </w:pP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 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Управління комунальної власності К</w:t>
      </w:r>
      <w:r w:rsidRPr="00122B53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алуської міської ради в 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2024 році здійснювало свою діяльність відповідно до Положення про управління комунальної власності Калуської міської ради (нова редакція), затвердженого рішенням сесії Калуської міської ради від 29.06.2023 №2266.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 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       </w:t>
      </w:r>
      <w:r w:rsidRPr="00495B2B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1. </w:t>
      </w:r>
      <w:r w:rsidRPr="001D260D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 </w:t>
      </w:r>
      <w:r w:rsidRPr="00495B2B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>На виконання Програми приватизації та управління комунальним майном за 2024 рік отримано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: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 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Pr="00495B2B"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val="uk-UA" w:eastAsia="uk-UA"/>
        </w:rPr>
        <w:t>Сукупно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- </w:t>
      </w:r>
      <w:r w:rsidRPr="00495B2B"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val="uk-UA" w:eastAsia="uk-UA"/>
        </w:rPr>
        <w:t>12 951 283,60 грн. з ПДВ., з них: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    </w:t>
      </w:r>
      <w:r w:rsidRPr="00495B2B">
        <w:rPr>
          <w:rFonts w:eastAsia="Times New Roman" w:cs="Times New Roman"/>
          <w:i/>
          <w:color w:val="000000" w:themeColor="text1"/>
          <w:sz w:val="26"/>
          <w:szCs w:val="26"/>
          <w:lang w:val="uk-UA" w:eastAsia="uk-UA"/>
        </w:rPr>
        <w:t>- </w:t>
      </w:r>
      <w:r w:rsidRPr="00122B53">
        <w:rPr>
          <w:rFonts w:eastAsia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eastAsia="Times New Roman" w:cs="Times New Roman"/>
          <w:i/>
          <w:color w:val="000000" w:themeColor="text1"/>
          <w:sz w:val="26"/>
          <w:szCs w:val="26"/>
          <w:lang w:val="uk-UA" w:eastAsia="uk-UA"/>
        </w:rPr>
        <w:t xml:space="preserve">  </w:t>
      </w:r>
      <w:r w:rsidRPr="00495B2B">
        <w:rPr>
          <w:rFonts w:eastAsia="Times New Roman" w:cs="Times New Roman"/>
          <w:bCs/>
          <w:i/>
          <w:color w:val="000000" w:themeColor="text1"/>
          <w:sz w:val="26"/>
          <w:szCs w:val="26"/>
          <w:lang w:val="uk-UA" w:eastAsia="uk-UA"/>
        </w:rPr>
        <w:t>від оренди</w:t>
      </w:r>
      <w:r w:rsidRPr="00495B2B">
        <w:rPr>
          <w:rFonts w:eastAsia="Times New Roman" w:cs="Times New Roman"/>
          <w:i/>
          <w:color w:val="000000" w:themeColor="text1"/>
          <w:sz w:val="26"/>
          <w:szCs w:val="26"/>
          <w:lang w:val="uk-UA" w:eastAsia="uk-UA"/>
        </w:rPr>
        <w:t> нерухомого майна, МАФ, транспортних засобів та обладнання -</w:t>
      </w:r>
      <w:r w:rsidRPr="00495B2B">
        <w:rPr>
          <w:rFonts w:eastAsia="Times New Roman" w:cs="Times New Roman"/>
          <w:b/>
          <w:bCs/>
          <w:i/>
          <w:color w:val="000000" w:themeColor="text1"/>
          <w:sz w:val="26"/>
          <w:szCs w:val="26"/>
          <w:lang w:val="uk-UA" w:eastAsia="uk-UA"/>
        </w:rPr>
        <w:t>9 477 260,17</w:t>
      </w:r>
      <w:r w:rsidRPr="00495B2B"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val="uk-UA" w:eastAsia="uk-UA"/>
        </w:rPr>
        <w:t>грн. з ПДВ., з них:</w:t>
      </w:r>
    </w:p>
    <w:p w:rsidR="00122B53" w:rsidRPr="00122B53" w:rsidRDefault="00122B53" w:rsidP="00122B53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000000" w:themeColor="text1"/>
          <w:sz w:val="26"/>
          <w:szCs w:val="26"/>
          <w:lang w:val="uk-UA" w:eastAsia="uk-UA"/>
        </w:rPr>
      </w:pPr>
      <w:r w:rsidRPr="00122B53">
        <w:rPr>
          <w:i/>
          <w:iCs/>
          <w:color w:val="000000" w:themeColor="text1"/>
          <w:sz w:val="26"/>
          <w:szCs w:val="26"/>
          <w:lang w:val="uk-UA" w:eastAsia="uk-UA"/>
        </w:rPr>
        <w:t>місцевий бюджет – 4 715 594,90грн;</w:t>
      </w:r>
    </w:p>
    <w:p w:rsidR="00122B53" w:rsidRPr="00122B53" w:rsidRDefault="00122B53" w:rsidP="00122B53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000000" w:themeColor="text1"/>
          <w:sz w:val="26"/>
          <w:szCs w:val="26"/>
          <w:lang w:val="uk-UA" w:eastAsia="uk-UA"/>
        </w:rPr>
      </w:pPr>
      <w:r w:rsidRPr="00122B53">
        <w:rPr>
          <w:i/>
          <w:iCs/>
          <w:color w:val="000000" w:themeColor="text1"/>
          <w:sz w:val="26"/>
          <w:szCs w:val="26"/>
          <w:lang w:val="uk-UA" w:eastAsia="uk-UA"/>
        </w:rPr>
        <w:t>державний бюджет – 1 530 387,09 грн;</w:t>
      </w:r>
    </w:p>
    <w:p w:rsidR="00122B53" w:rsidRPr="00122B53" w:rsidRDefault="00122B53" w:rsidP="00122B53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000000" w:themeColor="text1"/>
          <w:sz w:val="26"/>
          <w:szCs w:val="26"/>
          <w:lang w:val="uk-UA" w:eastAsia="uk-UA"/>
        </w:rPr>
      </w:pPr>
      <w:r w:rsidRPr="00122B53">
        <w:rPr>
          <w:i/>
          <w:iCs/>
          <w:color w:val="000000" w:themeColor="text1"/>
          <w:sz w:val="26"/>
          <w:szCs w:val="26"/>
          <w:lang w:val="uk-UA" w:eastAsia="uk-UA"/>
        </w:rPr>
        <w:t>балансоутримувачі майна – 3 231 278,18 грн;</w:t>
      </w:r>
    </w:p>
    <w:p w:rsidR="00122B53" w:rsidRPr="00122B53" w:rsidRDefault="00122B53" w:rsidP="00122B53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000000" w:themeColor="text1"/>
          <w:sz w:val="26"/>
          <w:szCs w:val="26"/>
          <w:lang w:val="uk-UA" w:eastAsia="uk-UA"/>
        </w:rPr>
      </w:pPr>
      <w:r w:rsidRPr="00122B53">
        <w:rPr>
          <w:i/>
          <w:iCs/>
          <w:color w:val="000000" w:themeColor="text1"/>
          <w:sz w:val="26"/>
          <w:szCs w:val="26"/>
          <w:lang w:val="uk-UA" w:eastAsia="uk-UA"/>
        </w:rPr>
        <w:t>місцевий бюджет –  2 895 019,50 грн;</w:t>
      </w:r>
    </w:p>
    <w:p w:rsidR="00122B53" w:rsidRPr="00122B53" w:rsidRDefault="00122B53" w:rsidP="00122B53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000000" w:themeColor="text1"/>
          <w:sz w:val="26"/>
          <w:szCs w:val="26"/>
          <w:lang w:val="uk-UA" w:eastAsia="uk-UA"/>
        </w:rPr>
      </w:pPr>
      <w:r w:rsidRPr="00122B53">
        <w:rPr>
          <w:i/>
          <w:iCs/>
          <w:color w:val="000000" w:themeColor="text1"/>
          <w:sz w:val="26"/>
          <w:szCs w:val="26"/>
          <w:lang w:val="uk-UA" w:eastAsia="uk-UA"/>
        </w:rPr>
        <w:t>державний бюджет – 579 003,90 грн;</w:t>
      </w:r>
    </w:p>
    <w:p w:rsidR="00122B53" w:rsidRPr="00495B2B" w:rsidRDefault="00122B53" w:rsidP="00122B53">
      <w:pPr>
        <w:shd w:val="clear" w:color="auto" w:fill="FFFFFF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 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       </w:t>
      </w:r>
      <w:r w:rsidRPr="00495B2B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>2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. </w:t>
      </w:r>
      <w:r w:rsidRPr="00122B53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 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Управлінням комунальної власності Калуської міської ради станом на 31.12.2024 було укладено </w:t>
      </w:r>
      <w:r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373 </w:t>
      </w:r>
      <w:r w:rsidRPr="00495B2B"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val="uk-UA" w:eastAsia="uk-UA"/>
        </w:rPr>
        <w:t>договори оренди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 нежитлових приміщень та МАФ.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 </w:t>
      </w:r>
    </w:p>
    <w:p w:rsidR="00122B53" w:rsidRPr="00495B2B" w:rsidRDefault="007C279F" w:rsidP="007C2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      3. 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Станом на 31.12.2024 було приватизовано 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шість об’єктів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 комунальної власності, з яких 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три об’єкти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 приватизовано шляхом викупу:</w:t>
      </w:r>
    </w:p>
    <w:p w:rsidR="00122B53" w:rsidRPr="00495B2B" w:rsidRDefault="00122B53" w:rsidP="00122B5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нежитлові приміщення за </w:t>
      </w:r>
      <w:proofErr w:type="spellStart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адресою</w:t>
      </w:r>
      <w:proofErr w:type="spellEnd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: м. Калуш вул. Лесі Українки, 14;</w:t>
      </w:r>
    </w:p>
    <w:p w:rsidR="00122B53" w:rsidRPr="00495B2B" w:rsidRDefault="00122B53" w:rsidP="00122B5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нежитлові приміщення за </w:t>
      </w:r>
      <w:proofErr w:type="spellStart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адресою</w:t>
      </w:r>
      <w:proofErr w:type="spellEnd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: м. Калуш, вул. Грушевського, 63;</w:t>
      </w:r>
    </w:p>
    <w:p w:rsidR="00122B53" w:rsidRPr="00495B2B" w:rsidRDefault="00122B53" w:rsidP="00122B5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нежитлові приміщення за </w:t>
      </w:r>
      <w:proofErr w:type="spellStart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адресою</w:t>
      </w:r>
      <w:proofErr w:type="spellEnd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: м. Калуш, вул. Вітовського, 7 ;</w:t>
      </w:r>
    </w:p>
    <w:p w:rsidR="00122B53" w:rsidRPr="00495B2B" w:rsidRDefault="00122B53" w:rsidP="00122B53">
      <w:pPr>
        <w:shd w:val="clear" w:color="auto" w:fill="FFFFFF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 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та </w:t>
      </w:r>
      <w:r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три об’єкти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 шляхом проведення електронного аукціону:</w:t>
      </w:r>
    </w:p>
    <w:p w:rsidR="00122B53" w:rsidRPr="00495B2B" w:rsidRDefault="00122B53" w:rsidP="00122B5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нежитлові приміщення за </w:t>
      </w:r>
      <w:proofErr w:type="spellStart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адресою</w:t>
      </w:r>
      <w:proofErr w:type="spellEnd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: </w:t>
      </w:r>
      <w:proofErr w:type="spellStart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с.Студінка</w:t>
      </w:r>
      <w:proofErr w:type="spellEnd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, вул. Па</w:t>
      </w:r>
      <w:bookmarkEnd w:id="0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наса Мирного, 5а;</w:t>
      </w:r>
    </w:p>
    <w:p w:rsidR="00122B53" w:rsidRPr="00495B2B" w:rsidRDefault="00122B53" w:rsidP="00122B5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нежитлові приміщення за </w:t>
      </w:r>
      <w:proofErr w:type="spellStart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адресою</w:t>
      </w:r>
      <w:proofErr w:type="spellEnd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: м. Калуш вул. Грушевського, 22;</w:t>
      </w:r>
    </w:p>
    <w:p w:rsidR="00122B53" w:rsidRPr="00495B2B" w:rsidRDefault="00122B53" w:rsidP="00122B5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виробниче приміщення за </w:t>
      </w:r>
      <w:proofErr w:type="spellStart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адресою</w:t>
      </w:r>
      <w:proofErr w:type="spellEnd"/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: м. Калуш вул. Рубчака, 3а;</w:t>
      </w:r>
    </w:p>
    <w:p w:rsidR="00122B53" w:rsidRPr="00495B2B" w:rsidRDefault="00122B53" w:rsidP="007C279F">
      <w:pPr>
        <w:shd w:val="clear" w:color="auto" w:fill="FFFFFF"/>
        <w:ind w:firstLine="567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 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        </w:t>
      </w:r>
      <w:r w:rsidRP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>4.</w:t>
      </w:r>
      <w:r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 </w:t>
      </w:r>
      <w:r w:rsidR="007C279F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 xml:space="preserve">  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В 2024 році</w:t>
      </w:r>
      <w:r w:rsidR="007C279F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проведено електронні аукціони, за результатами яких було надано чи продовжено договори оренди щодо- об’єктів комунальної власності.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Pr="00495B2B">
        <w:rPr>
          <w:rFonts w:eastAsia="Times New Roman" w:cs="Times New Roman"/>
          <w:i/>
          <w:iCs/>
          <w:color w:val="000000" w:themeColor="text1"/>
          <w:sz w:val="26"/>
          <w:szCs w:val="26"/>
          <w:u w:val="single"/>
          <w:lang w:val="uk-UA" w:eastAsia="uk-UA"/>
        </w:rPr>
        <w:t>Зокрема було надано в оренду нежитлові приміщення</w:t>
      </w:r>
      <w:r w:rsidR="007C279F">
        <w:rPr>
          <w:rFonts w:eastAsia="Times New Roman" w:cs="Times New Roman"/>
          <w:i/>
          <w:iCs/>
          <w:color w:val="000000" w:themeColor="text1"/>
          <w:sz w:val="26"/>
          <w:szCs w:val="26"/>
          <w:u w:val="single"/>
          <w:lang w:val="uk-UA" w:eastAsia="uk-UA"/>
        </w:rPr>
        <w:t xml:space="preserve"> </w:t>
      </w:r>
      <w:r w:rsidRPr="00495B2B">
        <w:rPr>
          <w:rFonts w:eastAsia="Times New Roman" w:cs="Times New Roman"/>
          <w:i/>
          <w:iCs/>
          <w:color w:val="000000" w:themeColor="text1"/>
          <w:sz w:val="26"/>
          <w:szCs w:val="26"/>
          <w:u w:val="single"/>
          <w:lang w:val="uk-UA" w:eastAsia="uk-UA"/>
        </w:rPr>
        <w:t>громадським та благодійним організаціям:</w:t>
      </w:r>
    </w:p>
    <w:p w:rsidR="00122B53" w:rsidRPr="00495B2B" w:rsidRDefault="00122B53" w:rsidP="007C2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-</w:t>
      </w:r>
      <w:r w:rsidR="007C279F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м. Калуш, вул. Героїв України, 9а – Молодіжна організація «Пласт»;</w:t>
      </w:r>
    </w:p>
    <w:p w:rsidR="00122B53" w:rsidRPr="00495B2B" w:rsidRDefault="007C279F" w:rsidP="007C279F">
      <w:pPr>
        <w:shd w:val="clear" w:color="auto" w:fill="FFFFFF"/>
        <w:spacing w:before="100" w:beforeAutospacing="1" w:after="100" w:afterAutospacing="1"/>
        <w:ind w:left="142" w:hanging="142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-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м. Калуш, вул. Грушевського, 93 – Молодіжна громадська організація «Вільні 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   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калуські люди»;</w:t>
      </w:r>
    </w:p>
    <w:p w:rsidR="00122B53" w:rsidRPr="00495B2B" w:rsidRDefault="007C279F" w:rsidP="007C2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lastRenderedPageBreak/>
        <w:t xml:space="preserve">-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м.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Калуш, вул. Грушевського, 93 – Громадська організація «Калуш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мілітарний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»;</w:t>
      </w:r>
    </w:p>
    <w:p w:rsidR="00122B53" w:rsidRPr="00495B2B" w:rsidRDefault="007C279F" w:rsidP="007C2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-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м. Калуш, вул. Грушевського, 25  – БО  «Благодійний  Фонд  «Там, де ти»;</w:t>
      </w:r>
    </w:p>
    <w:p w:rsidR="00122B53" w:rsidRPr="00495B2B" w:rsidRDefault="007C279F" w:rsidP="007C279F">
      <w:pPr>
        <w:shd w:val="clear" w:color="auto" w:fill="FFFFFF"/>
        <w:spacing w:before="100" w:beforeAutospacing="1" w:after="100" w:afterAutospacing="1"/>
        <w:ind w:left="360" w:hanging="360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-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м. Калуш, вул.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Чорновола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, 47а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–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ГО «Калуська академія спорту»;</w:t>
      </w:r>
    </w:p>
    <w:p w:rsidR="00122B53" w:rsidRPr="00495B2B" w:rsidRDefault="007C279F" w:rsidP="007C2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-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с.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Студінка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, вул. Стефаника, 8б – ГО «Футбольний клуб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Студінка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»;</w:t>
      </w:r>
    </w:p>
    <w:p w:rsidR="00122B53" w:rsidRPr="00495B2B" w:rsidRDefault="007C279F" w:rsidP="007C27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-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м. Калуш, вул. Б. Хмельницького, 9  – БО  «Благодійний  Фонд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«Ко-хати»;</w:t>
      </w:r>
    </w:p>
    <w:p w:rsidR="00122B53" w:rsidRPr="00495B2B" w:rsidRDefault="007C279F" w:rsidP="007C279F">
      <w:pPr>
        <w:shd w:val="clear" w:color="auto" w:fill="FFFFFF"/>
        <w:ind w:firstLine="567"/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</w:pPr>
      <w:r w:rsidRP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>5.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 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Управлінням комунальної власності КМР проводиться 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приватизація житлового фонду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,  відповідно було приватизовано (оформлено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свідоцтв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на право власності на житло) квартир - 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38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, кімнат у гуртожитках - 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5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Виготовлено 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12 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дублікатів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свідоцтв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про право власності.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Проведено 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55 консультацій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 з громадянами.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         </w:t>
      </w:r>
      <w:r w:rsidR="00122B53" w:rsidRP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>6.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 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Управлінням комунальної власності КМР в 2024 році була проведена </w:t>
      </w:r>
      <w:r w:rsidR="00122B53" w:rsidRPr="00495B2B"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val="uk-UA" w:eastAsia="uk-UA"/>
        </w:rPr>
        <w:t>технічна інвентаризація та реєстрація права власності на нерухоме майно та земельні ділянки: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- виготовлено технічних паспортів на 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5 об’єктів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 нерухомого майна;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- зареєстровано в Реєстрація речових прав на нерухоме майно – 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5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об’єктів;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 xml:space="preserve">- підготовлено документацію на виготовлення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проєкту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землеустрою, щодо відведення земельних ділянок для обслуговування нежитлових будівель та споруд та зареєстровано в Державному земельному кадастрі –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 4 ділянки;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- проведено реєстрацію права комунальної власності на земельні ділянки для обслуговування нежитлових будівель та споруд в Державному реєстрі речових прав –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4 ділянки.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    Отримано технічні умови 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на збільшення потужності та розроблено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проєктну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документацію зовнішнього електропостачання чотирьох об'єктів: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 xml:space="preserve">-  с.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Голинь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, вул. 600 річчя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Голиня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35 (20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кВТ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);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-  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с. Копанки, вул. Степана Бандери, 15 (30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кВТ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);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-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  м. Калуш, вул. Грушевського, 93 (10кВТ);</w:t>
      </w:r>
    </w:p>
    <w:p w:rsidR="007C279F" w:rsidRDefault="007C279F" w:rsidP="00122B53">
      <w:pPr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</w:pPr>
    </w:p>
    <w:p w:rsidR="00594B1A" w:rsidRPr="007C279F" w:rsidRDefault="007C279F" w:rsidP="00122B53">
      <w:pPr>
        <w:rPr>
          <w:lang w:val="uk-UA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 xml:space="preserve">          </w:t>
      </w:r>
      <w:r w:rsidR="00122B53" w:rsidRP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>7.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 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Протягом 2024 року управлінням комунальної власності Калуської міської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ради</w:t>
      </w:r>
      <w:r w:rsidR="00122B53" w:rsidRPr="00495B2B"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val="uk-UA" w:eastAsia="uk-UA"/>
        </w:rPr>
        <w:t>отримано</w:t>
      </w:r>
      <w:proofErr w:type="spellEnd"/>
      <w:r w:rsidR="00122B53" w:rsidRPr="00495B2B"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val="uk-UA" w:eastAsia="uk-UA"/>
        </w:rPr>
        <w:t xml:space="preserve"> благодійну та гуманітарну допомогу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 на загальну суму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 xml:space="preserve">1 851 809,53 </w:t>
      </w:r>
      <w:proofErr w:type="spellStart"/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грн.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в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тому числі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 бла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годійні -1 757 778,87 грн</w:t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 xml:space="preserve">          </w:t>
      </w:r>
      <w:r w:rsidR="00122B53" w:rsidRP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8. Управлінням комунальної власності Калуської міської ради в 2024 році на виконання доручень, щодо проведення ремонтних робіт об’єктів комунальної власності було проведено процедури публічних </w:t>
      </w:r>
      <w:proofErr w:type="spellStart"/>
      <w:r w:rsidR="00122B53" w:rsidRP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>закупівель</w:t>
      </w:r>
      <w:proofErr w:type="spellEnd"/>
      <w:r w:rsidR="00122B53" w:rsidRP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 та профінансовано проведення ремонтних робіт наступних об’єктів:</w:t>
      </w:r>
      <w:r w:rsidR="00122B53" w:rsidRPr="007C279F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-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водопровідних мереж на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вприхистках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для ВПО в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с.Боднарів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,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с.Мостище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та в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м.Калушіприхистку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«Теремок»;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- послуги з поточного ремонту та технічного обслуговування обладнання внутрішніх та зовнішніх мереж водо-та електропостачання фонтану на площі Героїв, м. Калуш на суму 149 072,05 гривень;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-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поточний ремонт покрівлі нежитлового приміщення м. Калуш, вул. Героїв України, 9а на суму 195 885 гривень;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- поточний ремонт ринв громадського будинку: м. Калуш, вул. Грушевського, 22 на суму 254 950 гривень;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 xml:space="preserve">- влаштування майданчиків під генератори 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в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прихистках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села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Мостище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та в 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м.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Калуші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«Теремок» на суму 306 559 гривень;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lastRenderedPageBreak/>
        <w:t xml:space="preserve">- 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ремонт покрівлі на вул. Грушевського, 25 в місті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Калуші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  на суму 30 075 гривень;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-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роботи по недопущенню проникнення в приміщення незавершеної будівлі Народного дому в с.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Голинь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на суму  69 932 гривні;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 xml:space="preserve">- 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інші ремонтні роботи.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 xml:space="preserve">Управлінням було здійснено ремонтні роботи в </w:t>
      </w:r>
      <w:proofErr w:type="spellStart"/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прихистках</w:t>
      </w:r>
      <w:proofErr w:type="spellEnd"/>
      <w:r w:rsidR="00122B53" w:rsidRPr="00495B2B"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>, а саме: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 xml:space="preserve">- 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встановлення бойлерів для облаштування місць тимчасового проживання внутрішньо переміщених (евакуйованих) осіб;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 xml:space="preserve">- 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проведено благоустрій територій.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 xml:space="preserve">Для вище вказаних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прихистків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було: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 xml:space="preserve">- 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проведено закупівлю природного газу та електричної енергії;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 xml:space="preserve">- 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здійснено придбання предметів, матеріалів та інвентаря в приміщення;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 xml:space="preserve">- 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забезпечувалась оплата комунальних послуг, спожитих на об'єктах комунальної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власності, де розміщені внутрішньо переміщені  та/або евакуйовані особи.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        </w:t>
      </w:r>
      <w:r w:rsidR="00122B53" w:rsidRP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>9. Управлінням в 2024 році було здійснено претензійно-позовну роботу:</w:t>
      </w:r>
      <w:r w:rsidR="00122B53" w:rsidRPr="007C279F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- позовна заява щодо стягнення заборгованості – 2;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- позовна заява щодо звільнення нежитлового приміщення та розірвання договору -1;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- позовна заява щодо зміни адресного номера -1;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- позовна заява, щодо відшкодування матеріальної шкоди, завданої вчиненням кримінального правопорушення -1.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- інші судові засідання (звільнення самовільно зайнятого приміщення; щодо скасування електронного аукціону; щодо реєстрації нерухомого майна) -3.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- заява про видачу судового наказу про стягнення заборгованості -3.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Також взято участь в судових засіданнях – 27.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lang w:val="uk-UA" w:eastAsia="uk-UA"/>
        </w:rPr>
        <w:t xml:space="preserve">         </w:t>
      </w:r>
      <w:r w:rsidR="00122B53" w:rsidRP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>10. У 2024 році управлінням комунальної власності Калуської міської ради було розроблено:</w:t>
      </w:r>
      <w:r w:rsidR="00122B53" w:rsidRPr="007C279F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- 82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проєкти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рішень для розгляду їх на пленарному засіданні сесії Калуської міської ради;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  <w:t>- 16</w:t>
      </w:r>
      <w:r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>проєктів</w:t>
      </w:r>
      <w:proofErr w:type="spellEnd"/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t xml:space="preserve"> рішень для розгляду їх на засіданні виконавчого комітету Калуської міської ради.</w:t>
      </w:r>
      <w:r w:rsidR="00122B53" w:rsidRPr="00495B2B">
        <w:rPr>
          <w:rFonts w:eastAsia="Times New Roman" w:cs="Times New Roman"/>
          <w:color w:val="000000" w:themeColor="text1"/>
          <w:sz w:val="26"/>
          <w:szCs w:val="26"/>
          <w:lang w:val="uk-UA" w:eastAsia="uk-UA"/>
        </w:rPr>
        <w:br/>
      </w:r>
      <w:r w:rsidRP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           </w:t>
      </w:r>
      <w:r w:rsidR="00122B53" w:rsidRPr="007C279F">
        <w:rPr>
          <w:rFonts w:eastAsia="Times New Roman" w:cs="Times New Roman"/>
          <w:bCs/>
          <w:color w:val="000000" w:themeColor="text1"/>
          <w:sz w:val="26"/>
          <w:szCs w:val="26"/>
          <w:lang w:val="uk-UA" w:eastAsia="uk-UA"/>
        </w:rPr>
        <w:t>11. Отримано та опрацьовано 543 листів, звернень, заяв тощо.</w:t>
      </w:r>
      <w:r w:rsidR="00122B53" w:rsidRPr="007C279F">
        <w:rPr>
          <w:rFonts w:ascii="Helvetica" w:eastAsia="Times New Roman" w:hAnsi="Helvetica" w:cs="Helvetica"/>
          <w:color w:val="666666"/>
          <w:sz w:val="21"/>
          <w:szCs w:val="21"/>
          <w:lang w:val="uk-UA" w:eastAsia="uk-UA"/>
        </w:rPr>
        <w:br/>
      </w:r>
    </w:p>
    <w:sectPr w:rsidR="00594B1A" w:rsidRPr="007C27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56A"/>
    <w:multiLevelType w:val="hybridMultilevel"/>
    <w:tmpl w:val="DC50A5F4"/>
    <w:lvl w:ilvl="0" w:tplc="CB46C3F4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000030C"/>
    <w:multiLevelType w:val="hybridMultilevel"/>
    <w:tmpl w:val="D9869682"/>
    <w:lvl w:ilvl="0" w:tplc="B7E44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774E"/>
    <w:multiLevelType w:val="multilevel"/>
    <w:tmpl w:val="8F4833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4237A19"/>
    <w:multiLevelType w:val="multilevel"/>
    <w:tmpl w:val="C11E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423E7"/>
    <w:multiLevelType w:val="multilevel"/>
    <w:tmpl w:val="F95E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847D1"/>
    <w:multiLevelType w:val="multilevel"/>
    <w:tmpl w:val="BE86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83B0A"/>
    <w:multiLevelType w:val="multilevel"/>
    <w:tmpl w:val="56BA70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86621E8"/>
    <w:multiLevelType w:val="multilevel"/>
    <w:tmpl w:val="FCEC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startOverride w:val="3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53"/>
    <w:rsid w:val="00122B53"/>
    <w:rsid w:val="001310E3"/>
    <w:rsid w:val="001D260D"/>
    <w:rsid w:val="00594B1A"/>
    <w:rsid w:val="007C279F"/>
    <w:rsid w:val="00CC2295"/>
    <w:rsid w:val="00E4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A3FF"/>
  <w15:chartTrackingRefBased/>
  <w15:docId w15:val="{648DD39D-9F94-4325-A2E2-7967AEA2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B5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295"/>
    <w:pPr>
      <w:keepNext/>
      <w:outlineLvl w:val="0"/>
    </w:pPr>
    <w:rPr>
      <w:rFonts w:eastAsia="Times New Roman" w:cs="Times New Roman"/>
      <w:sz w:val="28"/>
      <w:szCs w:val="20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2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C2295"/>
    <w:pPr>
      <w:keepNext/>
      <w:jc w:val="center"/>
      <w:outlineLvl w:val="2"/>
    </w:pPr>
    <w:rPr>
      <w:rFonts w:eastAsia="Times New Roman" w:cs="Times New Roman"/>
      <w:b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295"/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CC22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C2295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3">
    <w:name w:val="No Spacing"/>
    <w:uiPriority w:val="1"/>
    <w:qFormat/>
    <w:rsid w:val="00CC2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229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4113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2025-04-08T06:28:00Z</dcterms:created>
  <dcterms:modified xsi:type="dcterms:W3CDTF">2025-04-08T06:28:00Z</dcterms:modified>
</cp:coreProperties>
</file>