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E" w:rsidRDefault="001662BE" w:rsidP="00CD31C7">
      <w:pPr>
        <w:jc w:val="center"/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bookmarkStart w:id="0" w:name="_GoBack"/>
      <w:bookmarkEnd w:id="0"/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A266F9">
        <w:rPr>
          <w:b/>
          <w:lang w:val="uk-UA"/>
        </w:rPr>
        <w:t xml:space="preserve">лютому </w:t>
      </w:r>
      <w:r w:rsidR="004D0A98">
        <w:rPr>
          <w:b/>
          <w:lang w:val="uk-UA"/>
        </w:rPr>
        <w:t xml:space="preserve">2025 </w:t>
      </w:r>
      <w:r w:rsidR="00C52911" w:rsidRPr="00522995">
        <w:rPr>
          <w:b/>
          <w:lang w:val="uk-UA"/>
        </w:rPr>
        <w:t>року</w:t>
      </w:r>
    </w:p>
    <w:p w:rsidR="001662BE" w:rsidRDefault="001662BE" w:rsidP="00410455">
      <w:pPr>
        <w:jc w:val="center"/>
        <w:rPr>
          <w:b/>
          <w:lang w:val="uk-UA"/>
        </w:rPr>
      </w:pP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>
              <w:rPr>
                <w:lang w:val="uk-UA"/>
              </w:rPr>
              <w:t xml:space="preserve"> </w:t>
            </w:r>
            <w:r w:rsidR="00A266F9">
              <w:rPr>
                <w:b/>
                <w:color w:val="000000" w:themeColor="text1"/>
                <w:lang w:val="uk-UA"/>
              </w:rPr>
              <w:t>121,3</w:t>
            </w:r>
            <w:r w:rsidR="00CD28C5">
              <w:rPr>
                <w:b/>
                <w:color w:val="000000" w:themeColor="text1"/>
                <w:lang w:val="uk-UA"/>
              </w:rPr>
              <w:t xml:space="preserve"> </w:t>
            </w:r>
            <w:r w:rsidRPr="00FA2FF6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</w:t>
            </w:r>
            <w:r w:rsidR="009447D3" w:rsidRPr="00FA2FF6">
              <w:rPr>
                <w:b/>
                <w:color w:val="000000" w:themeColor="text1"/>
                <w:lang w:val="uk-UA"/>
              </w:rPr>
              <w:t>6</w:t>
            </w:r>
            <w:r w:rsidR="00A266F9">
              <w:rPr>
                <w:b/>
                <w:color w:val="000000" w:themeColor="text1"/>
                <w:lang w:val="uk-UA"/>
              </w:rPr>
              <w:t>9,6</w:t>
            </w:r>
            <w:r w:rsidR="007B5356" w:rsidRPr="00FA2FF6">
              <w:rPr>
                <w:color w:val="000000" w:themeColor="text1"/>
                <w:lang w:val="uk-UA"/>
              </w:rPr>
              <w:t xml:space="preserve">  </w:t>
            </w:r>
            <w:r w:rsidRPr="00FA2FF6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98407C">
              <w:rPr>
                <w:lang w:val="uk-UA"/>
              </w:rPr>
              <w:t>4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DF64D6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1662BE">
              <w:rPr>
                <w:lang w:val="uk-UA"/>
              </w:rPr>
              <w:t>2023-</w:t>
            </w:r>
            <w:r w:rsidR="00AE3F98">
              <w:rPr>
                <w:lang w:val="uk-UA"/>
              </w:rPr>
              <w:t>2024 році</w:t>
            </w:r>
            <w:r w:rsidRPr="009E0A66">
              <w:rPr>
                <w:lang w:val="uk-UA"/>
              </w:rPr>
              <w:t xml:space="preserve">  розмістили </w:t>
            </w:r>
            <w:r w:rsidR="0098407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proofErr w:type="spellStart"/>
            <w:r w:rsidR="00DF64D6">
              <w:rPr>
                <w:lang w:val="uk-UA"/>
              </w:rPr>
              <w:t>Триндей</w:t>
            </w:r>
            <w:proofErr w:type="spellEnd"/>
            <w:r w:rsidR="00DF64D6">
              <w:rPr>
                <w:lang w:val="uk-UA"/>
              </w:rPr>
              <w:t xml:space="preserve"> Руслан Іванович, </w:t>
            </w:r>
            <w:proofErr w:type="spellStart"/>
            <w:r w:rsidR="00DF64D6">
              <w:rPr>
                <w:lang w:val="uk-UA"/>
              </w:rPr>
              <w:t>Піцик</w:t>
            </w:r>
            <w:proofErr w:type="spellEnd"/>
            <w:r w:rsidR="00DF64D6">
              <w:rPr>
                <w:lang w:val="uk-UA"/>
              </w:rPr>
              <w:t xml:space="preserve"> Олександр Євгенович, </w:t>
            </w:r>
            <w:proofErr w:type="spellStart"/>
            <w:r w:rsidR="00DF64D6">
              <w:rPr>
                <w:lang w:val="uk-UA"/>
              </w:rPr>
              <w:t>Шляхтун</w:t>
            </w:r>
            <w:proofErr w:type="spellEnd"/>
            <w:r w:rsidR="00DF64D6">
              <w:rPr>
                <w:lang w:val="uk-UA"/>
              </w:rPr>
              <w:t xml:space="preserve"> Олег Олександрович, Первак Ярослав Борисович, </w:t>
            </w:r>
            <w:proofErr w:type="spellStart"/>
            <w:r w:rsidR="00DF64D6">
              <w:rPr>
                <w:lang w:val="uk-UA"/>
              </w:rPr>
              <w:t>Зембіцький</w:t>
            </w:r>
            <w:proofErr w:type="spellEnd"/>
            <w:r w:rsidR="00DF64D6">
              <w:rPr>
                <w:lang w:val="uk-UA"/>
              </w:rPr>
              <w:t xml:space="preserve"> Іван Михайлович, </w:t>
            </w:r>
            <w:proofErr w:type="spellStart"/>
            <w:r w:rsidR="00DF64D6">
              <w:rPr>
                <w:lang w:val="uk-UA"/>
              </w:rPr>
              <w:t>Вітковський</w:t>
            </w:r>
            <w:proofErr w:type="spellEnd"/>
            <w:r w:rsidR="00DF64D6">
              <w:rPr>
                <w:lang w:val="uk-UA"/>
              </w:rPr>
              <w:t xml:space="preserve"> Олександр Романович, </w:t>
            </w:r>
            <w:proofErr w:type="spellStart"/>
            <w:r w:rsidR="00DF64D6">
              <w:rPr>
                <w:lang w:val="uk-UA"/>
              </w:rPr>
              <w:t>Колотов</w:t>
            </w:r>
            <w:proofErr w:type="spellEnd"/>
            <w:r w:rsidR="00DF64D6">
              <w:rPr>
                <w:lang w:val="uk-UA"/>
              </w:rPr>
              <w:t xml:space="preserve"> Микола Іванович,  </w:t>
            </w:r>
            <w:proofErr w:type="spellStart"/>
            <w:r w:rsidR="00DF64D6">
              <w:rPr>
                <w:lang w:val="uk-UA"/>
              </w:rPr>
              <w:t>Мисюра</w:t>
            </w:r>
            <w:proofErr w:type="spellEnd"/>
            <w:r w:rsidR="00DF64D6">
              <w:rPr>
                <w:lang w:val="uk-UA"/>
              </w:rPr>
              <w:t xml:space="preserve"> Роман Богданович. 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230511" w:rsidRDefault="00E73832" w:rsidP="003B52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</w:t>
            </w:r>
            <w:r w:rsidR="009E0A66">
              <w:rPr>
                <w:lang w:val="uk-UA"/>
              </w:rPr>
              <w:t>ненн</w:t>
            </w:r>
            <w:r w:rsidR="00FB2C19">
              <w:rPr>
                <w:lang w:val="uk-UA"/>
              </w:rPr>
              <w:t xml:space="preserve">я </w:t>
            </w:r>
            <w:r w:rsidR="00230511">
              <w:rPr>
                <w:lang w:val="uk-UA"/>
              </w:rPr>
              <w:t xml:space="preserve"> </w:t>
            </w:r>
            <w:r w:rsidR="00DF64D6">
              <w:rPr>
                <w:lang w:val="uk-UA"/>
              </w:rPr>
              <w:t xml:space="preserve">Громадської організації </w:t>
            </w:r>
            <w:r w:rsidR="003B528A">
              <w:rPr>
                <w:lang w:val="uk-UA"/>
              </w:rPr>
              <w:t xml:space="preserve">«Калуського територіального об’єднання ветеранів Афганістану» </w:t>
            </w:r>
            <w:r w:rsidR="00AE3F98">
              <w:rPr>
                <w:lang w:val="uk-UA"/>
              </w:rPr>
              <w:t xml:space="preserve">розмістили рекламу соціального характеру </w:t>
            </w:r>
            <w:r w:rsidR="003B528A">
              <w:rPr>
                <w:lang w:val="uk-UA"/>
              </w:rPr>
              <w:t>до Дня вшанування учасників бойових дій на території інших держав</w:t>
            </w:r>
            <w:r w:rsidR="00230511">
              <w:rPr>
                <w:lang w:val="uk-UA"/>
              </w:rPr>
              <w:t xml:space="preserve"> на п</w:t>
            </w:r>
            <w:r w:rsidR="003B528A">
              <w:rPr>
                <w:lang w:val="uk-UA"/>
              </w:rPr>
              <w:t xml:space="preserve">лощині за </w:t>
            </w:r>
            <w:proofErr w:type="spellStart"/>
            <w:r w:rsidR="003B528A">
              <w:rPr>
                <w:lang w:val="uk-UA"/>
              </w:rPr>
              <w:t>адресою</w:t>
            </w:r>
            <w:proofErr w:type="spellEnd"/>
            <w:r w:rsidR="003B528A">
              <w:rPr>
                <w:lang w:val="uk-UA"/>
              </w:rPr>
              <w:t xml:space="preserve"> вул. Євшана 9(сторона Б) біля інженерного корпусу.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230511" w:rsidRPr="007B5356" w:rsidTr="0090601C">
        <w:tc>
          <w:tcPr>
            <w:tcW w:w="560" w:type="dxa"/>
          </w:tcPr>
          <w:p w:rsidR="00230511" w:rsidRDefault="00230511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230511" w:rsidRDefault="003B528A" w:rsidP="002305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Розмістили інформацію до Д</w:t>
            </w:r>
            <w:r>
              <w:rPr>
                <w:lang w:val="uk-UA"/>
              </w:rPr>
              <w:t>ня вшанування Гер</w:t>
            </w:r>
            <w:r>
              <w:rPr>
                <w:lang w:val="uk-UA"/>
              </w:rPr>
              <w:t xml:space="preserve">оїв Небесної Сотні на біг-бордах </w:t>
            </w:r>
            <w:r>
              <w:rPr>
                <w:lang w:val="uk-UA"/>
              </w:rPr>
              <w:t xml:space="preserve">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вул</w:t>
            </w:r>
            <w:proofErr w:type="spellEnd"/>
            <w:r>
              <w:rPr>
                <w:lang w:val="uk-UA"/>
              </w:rPr>
              <w:t xml:space="preserve"> Євшана</w:t>
            </w:r>
            <w:r>
              <w:rPr>
                <w:lang w:val="uk-UA"/>
              </w:rPr>
              <w:t>, 15  та вул. Помаранчевої революції (сторона А)</w:t>
            </w:r>
            <w:r w:rsidR="001662BE">
              <w:rPr>
                <w:lang w:val="uk-UA"/>
              </w:rPr>
              <w:t xml:space="preserve">, а також на сіті-лайті за </w:t>
            </w:r>
            <w:proofErr w:type="spellStart"/>
            <w:r w:rsidR="001662BE">
              <w:rPr>
                <w:lang w:val="uk-UA"/>
              </w:rPr>
              <w:t>адресою</w:t>
            </w:r>
            <w:proofErr w:type="spellEnd"/>
            <w:r w:rsidR="001662BE">
              <w:rPr>
                <w:lang w:val="uk-UA"/>
              </w:rPr>
              <w:t xml:space="preserve"> б-р Незалежності, 6Б.</w:t>
            </w:r>
          </w:p>
        </w:tc>
        <w:tc>
          <w:tcPr>
            <w:tcW w:w="1648" w:type="dxa"/>
          </w:tcPr>
          <w:p w:rsidR="00230511" w:rsidRPr="00522995" w:rsidRDefault="00230511" w:rsidP="00EC324E">
            <w:pPr>
              <w:jc w:val="both"/>
              <w:rPr>
                <w:lang w:val="uk-UA"/>
              </w:rPr>
            </w:pPr>
          </w:p>
        </w:tc>
      </w:tr>
      <w:tr w:rsidR="003B528A" w:rsidRPr="007B5356" w:rsidTr="0090601C">
        <w:tc>
          <w:tcPr>
            <w:tcW w:w="560" w:type="dxa"/>
          </w:tcPr>
          <w:p w:rsidR="003B528A" w:rsidRDefault="001662BE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3B528A" w:rsidRDefault="003B528A" w:rsidP="003B52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Відповідно до звернення 1 ОШБ імені Дмитра </w:t>
            </w:r>
            <w:proofErr w:type="spellStart"/>
            <w:r>
              <w:rPr>
                <w:lang w:val="uk-UA"/>
              </w:rPr>
              <w:t>Коцюбайла</w:t>
            </w:r>
            <w:proofErr w:type="spellEnd"/>
            <w:r>
              <w:rPr>
                <w:lang w:val="uk-UA"/>
              </w:rPr>
              <w:t xml:space="preserve"> «Да Вінчі» розмістили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на 3-х сіті-лайтах за адресами: </w:t>
            </w:r>
            <w:proofErr w:type="spellStart"/>
            <w:r>
              <w:rPr>
                <w:lang w:val="uk-UA"/>
              </w:rPr>
              <w:t>пл</w:t>
            </w:r>
            <w:proofErr w:type="spellEnd"/>
            <w:r>
              <w:rPr>
                <w:lang w:val="uk-UA"/>
              </w:rPr>
              <w:t xml:space="preserve">. Героїв № 14Б та № 17Б, б-р Незалежності 6Б, а також на площині у </w:t>
            </w:r>
            <w:proofErr w:type="spellStart"/>
            <w:r>
              <w:rPr>
                <w:lang w:val="uk-UA"/>
              </w:rPr>
              <w:t>с.Вістова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3B528A" w:rsidRPr="00522995" w:rsidRDefault="003B528A" w:rsidP="00EC324E">
            <w:pPr>
              <w:jc w:val="both"/>
              <w:rPr>
                <w:lang w:val="uk-UA"/>
              </w:rPr>
            </w:pPr>
          </w:p>
        </w:tc>
      </w:tr>
      <w:tr w:rsidR="003B528A" w:rsidRPr="007B5356" w:rsidTr="0090601C">
        <w:tc>
          <w:tcPr>
            <w:tcW w:w="560" w:type="dxa"/>
          </w:tcPr>
          <w:p w:rsidR="003B528A" w:rsidRDefault="001662BE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3B528A" w:rsidRDefault="003B528A" w:rsidP="002305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Відповідно до звернення 3БОП «Свобода» 4 </w:t>
            </w:r>
            <w:proofErr w:type="spellStart"/>
            <w:r>
              <w:rPr>
                <w:lang w:val="uk-UA"/>
              </w:rPr>
              <w:t>БрОП</w:t>
            </w:r>
            <w:proofErr w:type="spellEnd"/>
            <w:r>
              <w:rPr>
                <w:lang w:val="uk-UA"/>
              </w:rPr>
              <w:t xml:space="preserve"> НГУ в/ч 3018 розмістили </w:t>
            </w:r>
            <w:proofErr w:type="spellStart"/>
            <w:r>
              <w:rPr>
                <w:lang w:val="uk-UA"/>
              </w:rPr>
              <w:t>постер</w:t>
            </w:r>
            <w:proofErr w:type="spellEnd"/>
            <w:r>
              <w:rPr>
                <w:lang w:val="uk-UA"/>
              </w:rPr>
              <w:t xml:space="preserve"> з інформацією про набір громадян для проходження служби у батальйоні «Свобода» гвардії наступу «Рубіж» на площині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вул. Івано-Франківська (сторона Б) біля АЗС </w:t>
            </w:r>
            <w:r w:rsidR="001662BE">
              <w:rPr>
                <w:lang w:val="uk-UA"/>
              </w:rPr>
              <w:t>«</w:t>
            </w:r>
            <w:r>
              <w:rPr>
                <w:lang w:val="uk-UA"/>
              </w:rPr>
              <w:t>Укрнафта</w:t>
            </w:r>
            <w:r w:rsidR="001662BE">
              <w:rPr>
                <w:lang w:val="uk-UA"/>
              </w:rPr>
              <w:t>»</w:t>
            </w:r>
          </w:p>
        </w:tc>
        <w:tc>
          <w:tcPr>
            <w:tcW w:w="1648" w:type="dxa"/>
          </w:tcPr>
          <w:p w:rsidR="003B528A" w:rsidRPr="00522995" w:rsidRDefault="003B528A" w:rsidP="00EC324E">
            <w:pPr>
              <w:jc w:val="both"/>
              <w:rPr>
                <w:lang w:val="uk-UA"/>
              </w:rPr>
            </w:pPr>
          </w:p>
        </w:tc>
      </w:tr>
      <w:tr w:rsidR="0015512F" w:rsidRPr="006839C4" w:rsidTr="0090601C">
        <w:tc>
          <w:tcPr>
            <w:tcW w:w="560" w:type="dxa"/>
          </w:tcPr>
          <w:p w:rsidR="0015512F" w:rsidRPr="00522995" w:rsidRDefault="001662BE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15512F" w:rsidRPr="00522995" w:rsidRDefault="009C010A" w:rsidP="00CD31C7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7B5356">
              <w:rPr>
                <w:lang w:val="uk-UA"/>
              </w:rPr>
              <w:t xml:space="preserve"> </w:t>
            </w:r>
            <w:r w:rsidR="00410455">
              <w:rPr>
                <w:lang w:val="uk-UA"/>
              </w:rPr>
              <w:t>реклами на 2</w:t>
            </w:r>
            <w:r w:rsidR="00F81B00">
              <w:rPr>
                <w:lang w:val="uk-UA"/>
              </w:rPr>
              <w:t>-</w:t>
            </w:r>
            <w:r w:rsidR="00D722DE">
              <w:rPr>
                <w:lang w:val="uk-UA"/>
              </w:rPr>
              <w:t xml:space="preserve">х </w:t>
            </w:r>
            <w:proofErr w:type="spellStart"/>
            <w:r w:rsidR="00BC5857">
              <w:rPr>
                <w:lang w:val="uk-UA"/>
              </w:rPr>
              <w:t>площинах</w:t>
            </w:r>
            <w:proofErr w:type="spellEnd"/>
            <w:r w:rsidR="00BC585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15512F" w:rsidRPr="007B5356" w:rsidTr="0090601C">
        <w:trPr>
          <w:trHeight w:val="325"/>
        </w:trPr>
        <w:tc>
          <w:tcPr>
            <w:tcW w:w="560" w:type="dxa"/>
          </w:tcPr>
          <w:p w:rsidR="0015512F" w:rsidRPr="00522995" w:rsidRDefault="001662BE" w:rsidP="0015512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15512F" w:rsidRPr="00522995" w:rsidRDefault="0015512F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E73832">
              <w:rPr>
                <w:lang w:val="uk-UA"/>
              </w:rPr>
              <w:t xml:space="preserve"> розміщення (</w:t>
            </w:r>
            <w:r w:rsidR="001662BE">
              <w:rPr>
                <w:lang w:val="uk-UA"/>
              </w:rPr>
              <w:t>1 шт.) і ротацію (1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1662BE">
              <w:rPr>
                <w:lang w:val="uk-UA"/>
              </w:rPr>
              <w:t xml:space="preserve"> і сіті-лайтах (2</w:t>
            </w:r>
            <w:r w:rsidR="00455B85" w:rsidRPr="00522995">
              <w:rPr>
                <w:lang w:val="uk-UA"/>
              </w:rPr>
              <w:t xml:space="preserve"> шт.)</w:t>
            </w:r>
            <w:r w:rsidR="002F6E08">
              <w:rPr>
                <w:lang w:val="uk-UA"/>
              </w:rPr>
              <w:t xml:space="preserve"> та соціа</w:t>
            </w:r>
            <w:r w:rsidR="00410455">
              <w:rPr>
                <w:lang w:val="uk-UA"/>
              </w:rPr>
              <w:t xml:space="preserve">льної реклами на сіті-лайтах (2 </w:t>
            </w:r>
            <w:proofErr w:type="spellStart"/>
            <w:r w:rsidR="002F6E08">
              <w:rPr>
                <w:lang w:val="uk-UA"/>
              </w:rPr>
              <w:t>шт</w:t>
            </w:r>
            <w:proofErr w:type="spellEnd"/>
            <w:r w:rsidR="002F6E08">
              <w:rPr>
                <w:lang w:val="uk-UA"/>
              </w:rPr>
              <w:t>)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F81B00" w:rsidRPr="007B5356" w:rsidTr="0090601C">
        <w:trPr>
          <w:trHeight w:val="325"/>
        </w:trPr>
        <w:tc>
          <w:tcPr>
            <w:tcW w:w="560" w:type="dxa"/>
          </w:tcPr>
          <w:p w:rsidR="00F81B00" w:rsidRDefault="001662BE" w:rsidP="0015512F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F81B00" w:rsidRDefault="00F81B00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F81B00" w:rsidRPr="00522995" w:rsidRDefault="00F81B00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1662BE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15512F" w:rsidRPr="00522995" w:rsidRDefault="0015512F" w:rsidP="00CD31C7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A266F9" w:rsidRPr="00522995" w:rsidTr="0090601C">
        <w:tc>
          <w:tcPr>
            <w:tcW w:w="560" w:type="dxa"/>
          </w:tcPr>
          <w:p w:rsidR="00A266F9" w:rsidRDefault="001662BE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266F9" w:rsidRPr="00522995" w:rsidRDefault="00A266F9" w:rsidP="00CD31C7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266F9" w:rsidRPr="00A266F9" w:rsidRDefault="00A266F9" w:rsidP="00A266F9">
            <w:pPr>
              <w:rPr>
                <w:b/>
                <w:lang w:val="uk-UA"/>
              </w:rPr>
            </w:pPr>
            <w:r w:rsidRPr="00A266F9">
              <w:rPr>
                <w:b/>
                <w:lang w:val="uk-UA"/>
              </w:rPr>
              <w:t>31800,00</w:t>
            </w: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1662BE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7137" w:type="dxa"/>
          </w:tcPr>
          <w:p w:rsidR="0015512F" w:rsidRPr="00522995" w:rsidRDefault="0015512F" w:rsidP="00CD31C7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7B5356" w:rsidRPr="007B5356" w:rsidTr="0090601C">
        <w:tc>
          <w:tcPr>
            <w:tcW w:w="560" w:type="dxa"/>
          </w:tcPr>
          <w:p w:rsidR="007B5356" w:rsidRDefault="007B5356" w:rsidP="0015512F">
            <w:pPr>
              <w:jc w:val="both"/>
              <w:rPr>
                <w:lang w:val="uk-UA"/>
              </w:rPr>
            </w:pPr>
          </w:p>
          <w:p w:rsidR="007B5356" w:rsidRDefault="001662BE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137" w:type="dxa"/>
          </w:tcPr>
          <w:p w:rsidR="007B5356" w:rsidRPr="00522995" w:rsidRDefault="007B5356" w:rsidP="00CD31C7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EE3CF7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 w:rsidR="00E73832">
              <w:rPr>
                <w:lang w:val="uk-UA"/>
              </w:rPr>
              <w:t>ня МВК № 130 від 27.04.2021р</w:t>
            </w:r>
            <w:r w:rsidR="00CD31C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7B5356" w:rsidRPr="00E73832" w:rsidRDefault="00A266F9" w:rsidP="001074FC">
            <w:pPr>
              <w:rPr>
                <w:b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24100</w:t>
            </w:r>
            <w:r w:rsidR="007F7347" w:rsidRPr="00FA2FF6">
              <w:rPr>
                <w:b/>
                <w:color w:val="000000" w:themeColor="text1"/>
                <w:lang w:val="uk-UA"/>
              </w:rPr>
              <w:t>.00</w:t>
            </w:r>
          </w:p>
        </w:tc>
      </w:tr>
      <w:tr w:rsidR="00D224B8" w:rsidRPr="007B5356" w:rsidTr="0090601C">
        <w:tc>
          <w:tcPr>
            <w:tcW w:w="560" w:type="dxa"/>
          </w:tcPr>
          <w:p w:rsidR="00D224B8" w:rsidRDefault="001662BE" w:rsidP="00D22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137" w:type="dxa"/>
          </w:tcPr>
          <w:p w:rsidR="00D224B8" w:rsidRPr="00F81B00" w:rsidRDefault="0090601C" w:rsidP="00CD31C7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>Перераховано до місцев</w:t>
            </w:r>
            <w:r w:rsidR="00672A43" w:rsidRPr="00FF51D0">
              <w:rPr>
                <w:lang w:val="uk-UA"/>
              </w:rPr>
              <w:t xml:space="preserve">ого бюджету </w:t>
            </w:r>
            <w:proofErr w:type="spellStart"/>
            <w:r w:rsidR="00672A43" w:rsidRPr="00FF51D0">
              <w:t>відповідно</w:t>
            </w:r>
            <w:proofErr w:type="spellEnd"/>
            <w:r w:rsidR="00672A43" w:rsidRPr="00FF51D0">
              <w:t xml:space="preserve"> до п. 10 </w:t>
            </w:r>
            <w:proofErr w:type="spellStart"/>
            <w:r w:rsidR="00672A43" w:rsidRPr="00FF51D0">
              <w:t>рішення</w:t>
            </w:r>
            <w:proofErr w:type="spellEnd"/>
            <w:r w:rsidR="00F06AAD">
              <w:rPr>
                <w:lang w:val="uk-UA"/>
              </w:rPr>
              <w:t xml:space="preserve"> </w:t>
            </w:r>
            <w:r w:rsidR="00672A43" w:rsidRPr="00FF51D0">
              <w:t xml:space="preserve">(плата КП «МІЦ» за </w:t>
            </w:r>
            <w:proofErr w:type="spellStart"/>
            <w:r w:rsidR="00672A43" w:rsidRPr="00FF51D0">
              <w:t>тимчасове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користування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місцями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розташування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власних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конструкцій</w:t>
            </w:r>
            <w:proofErr w:type="spellEnd"/>
            <w:r w:rsidR="00672A43" w:rsidRPr="00FF51D0">
              <w:t xml:space="preserve">) </w:t>
            </w:r>
          </w:p>
        </w:tc>
        <w:tc>
          <w:tcPr>
            <w:tcW w:w="1648" w:type="dxa"/>
          </w:tcPr>
          <w:p w:rsidR="00D224B8" w:rsidRPr="00BD0BAE" w:rsidRDefault="00A266F9" w:rsidP="005557F7">
            <w:pPr>
              <w:rPr>
                <w:b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11000</w:t>
            </w:r>
            <w:r w:rsidR="007F7347" w:rsidRPr="00FA2FF6">
              <w:rPr>
                <w:b/>
                <w:color w:val="000000" w:themeColor="text1"/>
                <w:lang w:val="uk-UA"/>
              </w:rPr>
              <w:t>.00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662BE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D4B0F"/>
    <w:rsid w:val="001F29AA"/>
    <w:rsid w:val="001F3EE9"/>
    <w:rsid w:val="001F7E45"/>
    <w:rsid w:val="002043B3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77F7F"/>
    <w:rsid w:val="006839C4"/>
    <w:rsid w:val="00687870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7F7347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47D3"/>
    <w:rsid w:val="009473D7"/>
    <w:rsid w:val="00952CCD"/>
    <w:rsid w:val="0095310E"/>
    <w:rsid w:val="00957F51"/>
    <w:rsid w:val="0096247A"/>
    <w:rsid w:val="00965AA5"/>
    <w:rsid w:val="009730E8"/>
    <w:rsid w:val="00981129"/>
    <w:rsid w:val="0098407C"/>
    <w:rsid w:val="009909EF"/>
    <w:rsid w:val="00995779"/>
    <w:rsid w:val="009A36B2"/>
    <w:rsid w:val="009B0000"/>
    <w:rsid w:val="009C010A"/>
    <w:rsid w:val="009D5B6A"/>
    <w:rsid w:val="009E0A66"/>
    <w:rsid w:val="009E618A"/>
    <w:rsid w:val="009F2CDD"/>
    <w:rsid w:val="009F33D8"/>
    <w:rsid w:val="009F3AF3"/>
    <w:rsid w:val="00A027F1"/>
    <w:rsid w:val="00A159E2"/>
    <w:rsid w:val="00A222FE"/>
    <w:rsid w:val="00A266F9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D28C5"/>
    <w:rsid w:val="00CD31C7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06B3"/>
    <w:rsid w:val="00D644B5"/>
    <w:rsid w:val="00D722DE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42C2C"/>
    <w:rsid w:val="00E43E19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1B00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33DD-A5E4-4475-ADEA-6EDA1705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1837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4</cp:revision>
  <cp:lastPrinted>2023-10-18T06:35:00Z</cp:lastPrinted>
  <dcterms:created xsi:type="dcterms:W3CDTF">2025-03-06T13:41:00Z</dcterms:created>
  <dcterms:modified xsi:type="dcterms:W3CDTF">2025-03-12T08:04:00Z</dcterms:modified>
</cp:coreProperties>
</file>