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49" w:rsidRPr="00114949" w:rsidRDefault="00114949" w:rsidP="001149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УКРАЇНА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ІВАНО-ФРАНКІВСЬКА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ОБЛАСНА РАДА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Сьоме демократичне скликання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(Друга сесія)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РІШЕННЯ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від 25.12.2015. № 59-2/2015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м. Івано-Франківськ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Про Обласну програму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</w: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охорони навколишнього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</w: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природного середовища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</w: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до 2020 року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З метою впровадження і підвищення ефективності виконання природоохоронних заходів в області, оптимізації стану навколишнього природного середовища, умов життєдіяльності населення та забезпечення екологічної безпеки регіону, на виконання вимог статті 47 Закону України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охорону навколишнього природного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середовища”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та статті 43 Закону України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місцеве самоврядування в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Україні”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обласна рада</w:t>
      </w:r>
    </w:p>
    <w:p w:rsidR="00114949" w:rsidRPr="00114949" w:rsidRDefault="00114949" w:rsidP="001149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вирішила:</w:t>
      </w:r>
    </w:p>
    <w:p w:rsidR="00114949" w:rsidRPr="00114949" w:rsidRDefault="00114949" w:rsidP="001149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Затвердити Обласну програму охорони навколишнього природного середовища до 2020 року (далі – Програма) (додається).</w:t>
      </w:r>
    </w:p>
    <w:p w:rsidR="00114949" w:rsidRPr="00114949" w:rsidRDefault="00114949" w:rsidP="001149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Встановити, що бюджетні призначення для реалізації заходів Програми на кожен рік передбачаються щорічно при формуванні обласного бюджету, виходячи з можливостей його дохідної частини, і затверджуються рішенням обласної ради про бюджет на відповідний бюджетний період.</w:t>
      </w:r>
    </w:p>
    <w:p w:rsidR="00114949" w:rsidRPr="00114949" w:rsidRDefault="00114949" w:rsidP="001149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Контроль за виконанням рішення покласти на заступника голови обласної ради О. 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Галабалу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і постійну комісію обласної ради з питань екології та раціонального природокористування (М. 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Якимчук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).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Голова обласної ради                                                    Олександр Сич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</w:p>
    <w:p w:rsid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</w:p>
    <w:p w:rsid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</w:p>
    <w:p w:rsid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</w:p>
    <w:p w:rsid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</w:p>
    <w:p w:rsid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</w:p>
    <w:p w:rsid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</w:p>
    <w:p w:rsidR="00114949" w:rsidRPr="00114949" w:rsidRDefault="00114949" w:rsidP="00114949">
      <w:pPr>
        <w:shd w:val="clear" w:color="auto" w:fill="FFFFFF"/>
        <w:spacing w:after="150" w:line="240" w:lineRule="auto"/>
        <w:ind w:left="6096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lastRenderedPageBreak/>
        <w:t>Затверджено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рішенням обласної ради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від 25.12.2015.№ 59-2/2015</w:t>
      </w:r>
    </w:p>
    <w:p w:rsidR="00114949" w:rsidRPr="00114949" w:rsidRDefault="00114949" w:rsidP="00114949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494848"/>
          <w:sz w:val="45"/>
          <w:szCs w:val="45"/>
          <w:lang w:eastAsia="uk-UA"/>
        </w:rPr>
      </w:pP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t>Обласна програма</w:t>
      </w: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br/>
        <w:t>охорони навколишнього</w:t>
      </w: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br/>
        <w:t>природного середовища</w:t>
      </w: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br/>
        <w:t>до 2020 року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Замовник Програми: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Начальник управління екології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та природних ресурсів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 xml:space="preserve">обласної державної адміністрації                                       Р.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Гасимов</w:t>
      </w:r>
      <w:proofErr w:type="spellEnd"/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Керівник Програми: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Перший заступник голови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 xml:space="preserve">обласної державної адміністрації                                       С.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Басараб</w:t>
      </w:r>
      <w:proofErr w:type="spellEnd"/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94848"/>
          <w:sz w:val="45"/>
          <w:szCs w:val="45"/>
          <w:lang w:eastAsia="uk-UA"/>
        </w:rPr>
      </w:pPr>
      <w:r w:rsidRPr="00114949">
        <w:rPr>
          <w:rFonts w:ascii="Times New Roman" w:eastAsia="Times New Roman" w:hAnsi="Times New Roman" w:cs="Times New Roman"/>
          <w:color w:val="494848"/>
          <w:sz w:val="45"/>
          <w:szCs w:val="45"/>
          <w:lang w:eastAsia="uk-UA"/>
        </w:rPr>
        <w:t>ПАСПОРТ</w:t>
      </w:r>
      <w:r w:rsidRPr="00114949">
        <w:rPr>
          <w:rFonts w:ascii="Times New Roman" w:eastAsia="Times New Roman" w:hAnsi="Times New Roman" w:cs="Times New Roman"/>
          <w:color w:val="494848"/>
          <w:sz w:val="45"/>
          <w:szCs w:val="45"/>
          <w:lang w:eastAsia="uk-UA"/>
        </w:rPr>
        <w:br/>
        <w:t>обласної програми охорони</w:t>
      </w:r>
      <w:r w:rsidRPr="00114949">
        <w:rPr>
          <w:rFonts w:ascii="Times New Roman" w:eastAsia="Times New Roman" w:hAnsi="Times New Roman" w:cs="Times New Roman"/>
          <w:color w:val="494848"/>
          <w:sz w:val="45"/>
          <w:szCs w:val="45"/>
          <w:lang w:eastAsia="uk-UA"/>
        </w:rPr>
        <w:br/>
        <w:t>навколишнього природного середовища до 2020 року</w:t>
      </w:r>
    </w:p>
    <w:p w:rsidR="00114949" w:rsidRPr="00114949" w:rsidRDefault="00114949" w:rsidP="0011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Найменування Програми: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“Обласна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програма охорони навколишнього природного середовища до 2020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року”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.</w:t>
      </w:r>
    </w:p>
    <w:p w:rsidR="00114949" w:rsidRPr="00114949" w:rsidRDefault="00114949" w:rsidP="0011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Ініціатор розроблення Програми: 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Управління екології та природних ресурсів Івано-Франківської обласної державної адміністрації.</w:t>
      </w:r>
    </w:p>
    <w:p w:rsidR="00114949" w:rsidRPr="00114949" w:rsidRDefault="00114949" w:rsidP="0011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Розробник Програми: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 ДВНЗ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“Прикарпатський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національний університет імені Василя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Стефаника”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, управління екології та природних ресурсів облдержадміністрації.</w:t>
      </w:r>
    </w:p>
    <w:p w:rsidR="00114949" w:rsidRPr="00114949" w:rsidRDefault="00114949" w:rsidP="0011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Відповідальний виконавець Програми: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Управління екології та природних ресурсів Івано-Франківської обласної державної адміністрації.</w:t>
      </w:r>
    </w:p>
    <w:p w:rsidR="00114949" w:rsidRPr="00114949" w:rsidRDefault="00114949" w:rsidP="0011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Виконавці Програми: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Структурні підрозділи обласної державної адміністрації, районні державні адміністрації, виконавчі комітети міських рад міст обласного значення, суб’єкти моніторингу.</w:t>
      </w:r>
    </w:p>
    <w:p w:rsidR="00114949" w:rsidRPr="00114949" w:rsidRDefault="00114949" w:rsidP="0011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Термін реалізації Програми: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2016 – 2020 роки.</w:t>
      </w:r>
    </w:p>
    <w:p w:rsidR="00114949" w:rsidRPr="00114949" w:rsidRDefault="00114949" w:rsidP="0011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Етапи фінансування Програми: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щорічно.</w:t>
      </w:r>
    </w:p>
    <w:p w:rsidR="00114949" w:rsidRPr="00114949" w:rsidRDefault="00114949" w:rsidP="0011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Прогнозні обсяги та джерела фінансування:</w:t>
      </w:r>
    </w:p>
    <w:p w:rsidR="00114949" w:rsidRPr="00114949" w:rsidRDefault="00114949" w:rsidP="001149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1"/>
        <w:gridCol w:w="1798"/>
        <w:gridCol w:w="1707"/>
        <w:gridCol w:w="1707"/>
        <w:gridCol w:w="1540"/>
        <w:gridCol w:w="1876"/>
      </w:tblGrid>
      <w:tr w:rsidR="00114949" w:rsidRPr="00114949" w:rsidTr="00114949">
        <w:trPr>
          <w:trHeight w:val="825"/>
        </w:trPr>
        <w:tc>
          <w:tcPr>
            <w:tcW w:w="495" w:type="dxa"/>
            <w:vMerge w:val="restart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lastRenderedPageBreak/>
              <w:t>Рік</w:t>
            </w:r>
          </w:p>
        </w:tc>
        <w:tc>
          <w:tcPr>
            <w:tcW w:w="495" w:type="dxa"/>
            <w:gridSpan w:val="5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Прогнозні обсяги та джерела фінансування (тис. грн.)</w:t>
            </w:r>
          </w:p>
        </w:tc>
      </w:tr>
      <w:tr w:rsidR="00114949" w:rsidRPr="00114949" w:rsidTr="00114949">
        <w:trPr>
          <w:trHeight w:val="1134"/>
        </w:trPr>
        <w:tc>
          <w:tcPr>
            <w:tcW w:w="0" w:type="auto"/>
            <w:vMerge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vAlign w:val="center"/>
            <w:hideMark/>
          </w:tcPr>
          <w:p w:rsidR="00114949" w:rsidRPr="00114949" w:rsidRDefault="00114949" w:rsidP="00114949">
            <w:pPr>
              <w:spacing w:after="0" w:line="240" w:lineRule="auto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</w:p>
        </w:tc>
        <w:tc>
          <w:tcPr>
            <w:tcW w:w="495" w:type="dxa"/>
            <w:vMerge w:val="restart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0" w:after="150" w:line="240" w:lineRule="auto"/>
              <w:ind w:left="30" w:right="30"/>
              <w:outlineLvl w:val="1"/>
              <w:rPr>
                <w:rFonts w:ascii="inherit" w:eastAsia="Times New Roman" w:hAnsi="inherit" w:cs="Arial"/>
                <w:color w:val="757575"/>
                <w:sz w:val="45"/>
                <w:szCs w:val="45"/>
                <w:lang w:eastAsia="uk-UA"/>
              </w:rPr>
            </w:pPr>
            <w:r w:rsidRPr="00114949">
              <w:rPr>
                <w:rFonts w:ascii="inherit" w:eastAsia="Times New Roman" w:hAnsi="inherit" w:cs="Arial"/>
                <w:color w:val="757575"/>
                <w:sz w:val="45"/>
                <w:szCs w:val="45"/>
                <w:lang w:eastAsia="uk-UA"/>
              </w:rPr>
              <w:t>Всього</w:t>
            </w:r>
          </w:p>
        </w:tc>
        <w:tc>
          <w:tcPr>
            <w:tcW w:w="495" w:type="dxa"/>
            <w:gridSpan w:val="4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в т. ч. за джерелами</w:t>
            </w:r>
          </w:p>
        </w:tc>
      </w:tr>
      <w:tr w:rsidR="00114949" w:rsidRPr="00114949" w:rsidTr="00114949">
        <w:trPr>
          <w:trHeight w:val="1185"/>
        </w:trPr>
        <w:tc>
          <w:tcPr>
            <w:tcW w:w="0" w:type="auto"/>
            <w:vMerge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vAlign w:val="center"/>
            <w:hideMark/>
          </w:tcPr>
          <w:p w:rsidR="00114949" w:rsidRPr="00114949" w:rsidRDefault="00114949" w:rsidP="00114949">
            <w:pPr>
              <w:spacing w:after="0" w:line="240" w:lineRule="auto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vAlign w:val="center"/>
            <w:hideMark/>
          </w:tcPr>
          <w:p w:rsidR="00114949" w:rsidRPr="00114949" w:rsidRDefault="00114949" w:rsidP="00114949">
            <w:pPr>
              <w:spacing w:after="0" w:line="240" w:lineRule="auto"/>
              <w:rPr>
                <w:rFonts w:ascii="inherit" w:eastAsia="Times New Roman" w:hAnsi="inherit" w:cs="Arial"/>
                <w:color w:val="757575"/>
                <w:sz w:val="45"/>
                <w:szCs w:val="45"/>
                <w:lang w:eastAsia="uk-UA"/>
              </w:rPr>
            </w:pP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інші джерела</w:t>
            </w:r>
          </w:p>
        </w:tc>
      </w:tr>
      <w:tr w:rsidR="00114949" w:rsidRPr="00114949" w:rsidTr="00114949">
        <w:trPr>
          <w:trHeight w:val="825"/>
        </w:trPr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2016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450704,536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64164,8702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99176,0328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6167,3428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281196,2902</w:t>
            </w:r>
          </w:p>
        </w:tc>
      </w:tr>
      <w:tr w:rsidR="00114949" w:rsidRPr="00114949" w:rsidTr="00114949">
        <w:trPr>
          <w:trHeight w:val="825"/>
        </w:trPr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2017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450704,536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64164,8702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99176,0328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6167,3428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281196,2902</w:t>
            </w:r>
          </w:p>
        </w:tc>
      </w:tr>
      <w:tr w:rsidR="00114949" w:rsidRPr="00114949" w:rsidTr="00114949">
        <w:trPr>
          <w:trHeight w:val="825"/>
        </w:trPr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450704,536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64164,8702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99176,0328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6167,3428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281196,2902</w:t>
            </w:r>
          </w:p>
        </w:tc>
      </w:tr>
      <w:tr w:rsidR="00114949" w:rsidRPr="00114949" w:rsidTr="00114949">
        <w:trPr>
          <w:trHeight w:val="825"/>
        </w:trPr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450704,536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64164,8702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99176,0328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6167,3428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281196,2902</w:t>
            </w:r>
          </w:p>
        </w:tc>
      </w:tr>
      <w:tr w:rsidR="00114949" w:rsidRPr="00114949" w:rsidTr="00114949">
        <w:trPr>
          <w:trHeight w:val="825"/>
        </w:trPr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450704,536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64164,8702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99176,0328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6167,3428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281196,2902</w:t>
            </w:r>
          </w:p>
        </w:tc>
      </w:tr>
      <w:tr w:rsidR="00114949" w:rsidRPr="00114949" w:rsidTr="00114949">
        <w:trPr>
          <w:trHeight w:val="825"/>
        </w:trPr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2253522,68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320824,351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495880,164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30836,714</w:t>
            </w:r>
          </w:p>
        </w:tc>
        <w:tc>
          <w:tcPr>
            <w:tcW w:w="49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1405981,451</w:t>
            </w:r>
          </w:p>
        </w:tc>
      </w:tr>
    </w:tbl>
    <w:p w:rsidR="00114949" w:rsidRPr="00114949" w:rsidRDefault="00114949" w:rsidP="001149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Очікувані результати виконання Програми: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– попередження забруднення поверхневих і підземних вод внаслідок покращення роботи очисних споруд у населених пунктах області, реконструкції (ремонту) існуючих і будівництва нових каналізаційних мереж;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– запобігання шкідливій дії вод шляхом створення комплексу гідротехнічних споруд на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паводконебезпечних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ділянках рік і розроблення ефективної системи прогнозування небезпечних гідрологічних процесів, відновлення і підтримання сприятливого гідрологічного режиму та екологічного стану річок;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– зниження інтенсивності ерозійних процесів і оптимізація екологічного стану ґрунтів шляхом розроблення і впровадження ефективних меліоративних і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ремедіативних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заходів;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– зменшення викидів шкідливих речовин в атмосферне повітря від стаціонарних і мобільних джерел;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– забезпечення екологічно збалансованого природокористування та зменшення негативного впливу на навколишнє природне середовище від діяльності, пов’язаної з видобутком корисних копалин;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– збереження біотичного,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екосистемного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й ландшафтного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біорізноманіття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шляхом розробки і впровадження заходів активної і пасивної охорони, збереження і відтворення раритетних, зникаючих, ендемічних, реліктових і цінних у 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lastRenderedPageBreak/>
        <w:t>господарському відношенні видів рослин і тварин та їх оселищ, унікальних і типових для регіону ландшафтів;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– формування регіональної екологічної мережі шляхом створення нових і вдосконалення функціонування існуючих заповідних територій;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– вдосконалення системи поводження з побутовими відходами шляхом часткового впровадження роздільної системи їх збирання, утилізації та переробки;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– розроблення системи поступового переходу регіону на екологічно чисті й поновлювальні джерела енергії;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– удосконалення системи оцінки і прогнозування екологічної ситуації шляхом створення постійно діючої системи моніторингу навколишнього природного середовища та впровадження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ГІС-технологій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.</w:t>
      </w:r>
    </w:p>
    <w:p w:rsidR="00114949" w:rsidRPr="00114949" w:rsidRDefault="00114949" w:rsidP="001149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Термін проведення звітності: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відповідальний виконавець Програми один раз на рік, до 15 лютого року, наступного за звітним, надає обласній раді інформацію щодо виконання Програми відповідно до поставленої мети і завдань.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494848"/>
          <w:sz w:val="45"/>
          <w:szCs w:val="45"/>
          <w:lang w:eastAsia="uk-UA"/>
        </w:rPr>
      </w:pP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t>Обґрунтування доцільності розроблення</w:t>
      </w: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br/>
        <w:t>Обласної програми охорони навколишнього природного середовища</w:t>
      </w: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br/>
        <w:t>до 2020 року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Івано-Франківщина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характеризується неоднорідною екологічною ситуацією. З одного боку, на її теренах збережені неповторні природні ландшафти, реліктові та ендемічні види рослин і тварин, унікальні природні комплекси. Різноманіття природних ресурсів у регіоні формує потужний рекреаційно-туристичний потенціал, який є одним із найбільших і найперспективніших в Україні. Водночас,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Івано-Франківщина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має високий інтегральний показник антропогенних навантажень на навколишнє середовище. На окремих територіях екологічна ситуація та якість довкілля характеризуються як несприятливі для здоров’я людини, а місто Калуш, села Кропивник і Сівка-Калуська Калуського району визнані зоною надзвичайної екологічної ситуації. Природокористування є нераціональним й екологічно не зрівноваженим, а ефективність використання природних ресурсів – досить низька. Тому необхідно виробити і здійснювати таку стратегію і тактику природокористування, які б забезпечили інтегральне управління природними ресурсами, їх невиснажливе використання і охорону від вичерпання і забруднення, а також постійний контроль (моніторинг) за змінами природних і антропогенних процесів у природно-територіальних комплексах.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Рішенням обласної ради від 17.10.2014 року № 1401-32/2014 затверджена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“Стратегія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розвитку Івано-Франківської області на період до 2020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року”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(далі – Стратегія), яка однією з операційних цілей визначила забезпечення екологічної безпеки регіону. Основними завданнями реалізації цієї цілі є запобігання та ліквідація наслідків надзвичайних ситуацій; зменшення негативного впливу на довкілля промислових та житлово-комунальних об’єктів; розвиток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екомережі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та збереження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біорізноманіття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; збереження навколишнього природного середовища, оцінка й оптимізація його 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lastRenderedPageBreak/>
        <w:t xml:space="preserve">екологічного стану. Інструментом виконання пріоритетних завдань Стратегії є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“Обласна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програма охорони навколишнього природного середовища до 2020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року”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Програмою реалізується системний підхід до вирішення екологічних проблем через врахування характерних для області природних умов, загроз екологічній безпеці природного й техногенного характеру, соціально-економічних умов та міжнародних зобов’язань.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Програма розробляється відповідно до законодавчих та нормативно-правових документів, а саме: Конституції України, Земельного кодексу України, Водного кодексу України, законів України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місцеве самоврядування в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Україні”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охорону навколишнього природного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середовища”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охорону атмосферного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повітря”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відходи”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рослинний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світ”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тваринний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світ”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екологічну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мережу”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природно-заповідний фонд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України”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екологічний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аудит”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екологічну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експертизу”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постанови Кабінету Міністрів України від 17.09.1996 р. № 1147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затвердження Переліку видів діяльності, що належать до природоохоронних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заходів”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, Стратегії розвитку Івано-Франківської області на період до 2020 року (затвердженої рішенням обласної ради від 17.10.2014. № 1401-32/2014.), пропозицій районних державних адміністрацій та інших органів місцевого самоврядування.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У минулому році зареєстровано два неблагополучних пункти та ряд випадків позитивної реакції на захворювання лептоспірозом у тварин в господарствах індивідуального сектору. У 2015 році виявлено один неблагополучний пункт та 34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серопозитивні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тварини у господарствах індивідуального сектору, де проводились заходи відповідно до чинної Інструкції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заходи профілактики та оздоровлення тварин від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лептоспірозу”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затвердженої головним управлінням ветеринарної медицини з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Держветінспекцією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Мінсільгосппроду України від 15.03.1994 року № 5, зареєстрованої в Міністерстві юстиції України 31.03.1994 року за № 55/264.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Крім того, для успішного здійснення протиепізоотичних заходів важливим є проведення, зокрема, профілактичних дезінфекцій, дератизацій тваринницьких приміщень, які треба проводити не рідше двох разів на рік.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Програма розроблена з метою виконання державних програм, а саме: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– програм контролю сальмонельозу птиці в Україні на 2014-2018 роки, затверджених наказом Головного державного інспектора ветеринарної медицини України від 27 грудня 2013 року № 177 (племінна птиця, кури-несучки, бройлери та індики);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– програми викорінення хвороби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Ауєскі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свиней на території України на 2013-2017 роки, затвердженої наказом Головного державного інспектора ветеринарної медицини України від 10 грудня 2012 року № 180;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– придбання спеціалізованого лабораторного обладнання, індивідуальних засобів захисту, спецодягу, дезінфекційних засобів для персоналу, лабораторних тварин, інструментів, що необхідні для боротьби з інфекційними і паразитарними хворобами тварин, передбачених постановою Кабінету Міністрів України від 23 квітня 2008 року № 413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“Про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затвердження Порядку використання коштів, передбачених у державному бюджеті для здійснення протиепізоотичних заходів, та переліку послуг спеціалістів ветеринарної медицини, які проводять ветеринарну практику, за здійсненням обов’язкових або необхідних протиепізоотичних заходів та розмірів їх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оплати”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SWOT-аналіз Івано-Франківської області в рамках розроблення проекту Стратегії розвитку Івано-Франківської області на період до 2020 року виявив низку сильних, з точки зору можливостей розвитку регіону, сторін, зокрема, наявність природних ресурсів, відновлювальних та альтернативних джерел енергії, сировинної бази 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lastRenderedPageBreak/>
        <w:t xml:space="preserve">відходів, значну частку екологічно чистих територій тощо. Водночас, на окремих територіях склалась складна, а подекуди критична (Калуський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гірничо-промисловий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район) екологічна ситуація.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Щільність викидів від стаціонарних джерел забруднення у розрахунку на квадратний кілометр території області складає близько 14,6 т забруднюючих речовин, а на 1 особу – 146,8 кг, що є четвертим показником в Україні. Динаміка викидів забруднюючих речовин у атмосферне повітря від стаціонарних джерел, розміщених на території Івано-Франківської області, має циклічний характер.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За загальними запасами поверхневих вод область займає третє місце в Україні. Вони забезпечують потреби господарства та населення у воді за рахунок поверхневих та підземних вод, які територіально розподілені нерівномірно. Поверхневі води області сконцентровані в річкових басейнах Дністра і Прута. Крім того, в області нараховується 22 родовища прісних підземних вод, які занесені до Державного балансу запасів корисних копалин України, з них 9 – питного призначення.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У природно-ресурсному потенціалі області одне із центральних місць займають лісові ресурси. Близько половини території області (636,4 тис. га або 45,7 % загальної площі) вкрито лісами, площа яких складає 6,0 % лісів України. На одного жителя припадає майже 0,5 га лісу проти 0,2 га в середньому по Україні.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Впродовж останніх років спостерігалася тенденція до збільшення площі природно-заповідного фонду області, яка нараховує 474 території та об’єкти загальною площею 218,8 тис. га, що складає 15,7 % від загальної площі області, у тому числі: 32 об’єкти загальнодержавного значення площею 131,6 тис. га; 442 об’єкти місцевого значення площею 87,2 тис. га. В області функціонує 5 установ природно-заповідного фонду (природний заповідник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“Горгани”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Карпатський національний природний парк, національний природний парк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“Гуцульщина”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, національний природний парк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“Верховинський”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та Галицький національний природний парк). Національний природний парк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“Синьогора”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знаходиться в постійному користуванні ДО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“Резиденція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Синьогора”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 xml:space="preserve"> та не має юридичного статусу установи природно-заповідного фонду.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У спеціально відведених місцях чи об’єктах та на території підприємств області накопичилось 40636,3 тис. т відходів I–IV класів небезпеки. Основна їх частина (99,8 % або 40562,5 тис. т) – це відходи IV класу небезпеки. Відходи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 xml:space="preserve">І–ІІІ класів небезпеки складають 73,8 тис. т (на 22,2 тис. т більше, ніж у 2003р.). На території області щорічно утворюється близько 760 тис. т твердих побутових відходів, які вивозяться для захоронення на 27 полігонів ТПВ. Полігони займають площу 83,0 га і в них накопичено до 25,0 млн. т. твердих побутових відходів. Більшість полігонів, що експлуатуються в області, не відповідають вимогам екологічної безпеки. На теперішній час в області діє понад 25 суб’єктів підприємницької діяльності та приватних підприємств, які займаються збором та переробкою </w:t>
      </w:r>
      <w:proofErr w:type="spellStart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вторсировини</w:t>
      </w:r>
      <w:proofErr w:type="spellEnd"/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, відсортованої (вилученої) із ТПВ.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Основним джерелом фінансування природоохоронних заходів і надалі залишається обласний фонд охорони навколишнього природного середовища. Підставою для фінансування та реалізації природоохоронних заходів є місцеві екологічні програми, насамперед, Обласна програма охорони навколишнього природного середовища.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У зв’язку із закінченням терміну дії чинної програми постає необхідність розроблення нового програмного документу, який би враховував ті критичні зміни, що відбулися у довкіллі регіону впродовж останніх років, та відображав основні шляхи покращення екологічної ситуації відповідно до Стратегії розвитку Івано-Франківської області на період до 2020 року.</w:t>
      </w:r>
    </w:p>
    <w:p w:rsidR="00114949" w:rsidRPr="00114949" w:rsidRDefault="00114949" w:rsidP="0011494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494848"/>
          <w:sz w:val="45"/>
          <w:szCs w:val="45"/>
          <w:lang w:eastAsia="uk-UA"/>
        </w:rPr>
      </w:pP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lastRenderedPageBreak/>
        <w:t>Мета Програми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Метою Програми є впровадження і підвищення ефективності природоохоронних заходів в Івано-Франківській області для оптимізації стану навколишнього природного середовища, умов життєдіяльності населення та забезпечення екологічної безпеки регіону.</w:t>
      </w:r>
    </w:p>
    <w:p w:rsidR="00114949" w:rsidRPr="00114949" w:rsidRDefault="00114949" w:rsidP="0011494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494848"/>
          <w:sz w:val="45"/>
          <w:szCs w:val="45"/>
          <w:lang w:eastAsia="uk-UA"/>
        </w:rPr>
      </w:pP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t>Основні завдання Програми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Спрямування дій органів виконавчої влади та місцевого самоврядування, підприємств, установ та організацій всіх форм власності на реалізацію пріоритетних напрямів діяльності у сфері ефективного природокористування, дотримання вимог екологічної безпеки та охорони навколишнього природного середовища.</w:t>
      </w:r>
    </w:p>
    <w:p w:rsidR="00114949" w:rsidRPr="00114949" w:rsidRDefault="00114949" w:rsidP="0011494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494848"/>
          <w:sz w:val="45"/>
          <w:szCs w:val="45"/>
          <w:lang w:eastAsia="uk-UA"/>
        </w:rPr>
      </w:pP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t>Фінансування Програми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Фінансування Програми передбачається здійснювати за рахунок коштів державного, обласного, місцевих бюджетів, коштів підприємств, установ, організацій та інших джерел, не заборонених чинним законодавством.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Обсяг фінансування програми з обласного бюджету визначається щорічно, виходячи із конкретних завдань та наявних коштів під час формування проекту обласного бюджету на відповідний рік, чи внесенням змін до нього, з урахуванням можливостей його дохідної частини.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Розпорядники коштів обласного бюджету визначаються рішенням обласної ради про обласний бюджет на відповідний рік.</w:t>
      </w:r>
    </w:p>
    <w:p w:rsidR="00114949" w:rsidRPr="00114949" w:rsidRDefault="00114949" w:rsidP="0011494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494848"/>
          <w:sz w:val="45"/>
          <w:szCs w:val="45"/>
          <w:lang w:eastAsia="uk-UA"/>
        </w:rPr>
      </w:pPr>
      <w:r w:rsidRPr="00114949">
        <w:rPr>
          <w:rFonts w:ascii="Arial" w:eastAsia="Times New Roman" w:hAnsi="Arial" w:cs="Arial"/>
          <w:color w:val="494848"/>
          <w:sz w:val="45"/>
          <w:szCs w:val="45"/>
          <w:lang w:eastAsia="uk-UA"/>
        </w:rPr>
        <w:t>Механізм виконання та контроль за реалізацією Програми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Координацію діяльності органів виконавчої влади та місцевого самоврядування, підприємств, установ та організацій всіх форм власності щодо реалізації даної програми здійснює управління екології та природних ресурсів обласної державної адміністрації.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Програма реалізується за участю структурних підрозділів обласної державної адміністрації, райдержадміністрацій, виконавчих комітетів міст обласного значення, органів місцевого самоврядування, підприємств, установ та організацій усіх форм власності.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Контроль за виконанням Програми базується на основі річних звітів за напрямами Програми.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Органи виконавчої влади та місцевого самоврядування, підприємства, установи та організації, задіяні у виконанні заходів Програми, подають звіти про виконання цих заходів в управління екології та природних ресурсів обласної державної адміністрації.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Управління екології та природних ресурсів обласної державної адміністрації узагальнює інформацію і формує щорічний зведений звіт про виконання заходів Програми та подає його обласній раді.</w:t>
      </w:r>
    </w:p>
    <w:p w:rsid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ind w:left="6237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lastRenderedPageBreak/>
        <w:t> </w:t>
      </w:r>
      <w:r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Д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одаток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до Обласної програми охорони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навколишнього природного</w:t>
      </w: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середовища до 2020 року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  <w:r w:rsidRPr="00114949">
        <w:rPr>
          <w:rFonts w:ascii="Arial" w:eastAsia="Times New Roman" w:hAnsi="Arial" w:cs="Arial"/>
          <w:b/>
          <w:bCs/>
          <w:color w:val="494848"/>
          <w:sz w:val="24"/>
          <w:szCs w:val="24"/>
          <w:lang w:eastAsia="uk-UA"/>
        </w:rPr>
        <w:t>Пріоритетні природоохоронні заходи, (тис. грн.)</w:t>
      </w:r>
    </w:p>
    <w:tbl>
      <w:tblPr>
        <w:tblW w:w="10774" w:type="dxa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2107"/>
        <w:gridCol w:w="1589"/>
        <w:gridCol w:w="1589"/>
        <w:gridCol w:w="1589"/>
        <w:gridCol w:w="1433"/>
        <w:gridCol w:w="1895"/>
      </w:tblGrid>
      <w:tr w:rsidR="00114949" w:rsidRPr="00114949" w:rsidTr="00114949">
        <w:trPr>
          <w:trHeight w:val="645"/>
        </w:trPr>
        <w:tc>
          <w:tcPr>
            <w:tcW w:w="587" w:type="dxa"/>
            <w:vMerge w:val="restart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№</w:t>
            </w: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2135" w:type="dxa"/>
            <w:vMerge w:val="restart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610" w:type="dxa"/>
            <w:vMerge w:val="restart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Разом,</w:t>
            </w: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br/>
              <w:t>тис. грн.</w:t>
            </w:r>
          </w:p>
        </w:tc>
        <w:tc>
          <w:tcPr>
            <w:tcW w:w="6442" w:type="dxa"/>
            <w:gridSpan w:val="4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Прогнозний обсяг та джерела фінансування</w:t>
            </w:r>
          </w:p>
        </w:tc>
      </w:tr>
      <w:tr w:rsidR="00114949" w:rsidRPr="00114949" w:rsidTr="00114949">
        <w:trPr>
          <w:trHeight w:val="645"/>
        </w:trPr>
        <w:tc>
          <w:tcPr>
            <w:tcW w:w="0" w:type="auto"/>
            <w:vMerge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vAlign w:val="center"/>
            <w:hideMark/>
          </w:tcPr>
          <w:p w:rsidR="00114949" w:rsidRPr="00114949" w:rsidRDefault="00114949" w:rsidP="00114949">
            <w:pPr>
              <w:spacing w:after="0" w:line="240" w:lineRule="auto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vAlign w:val="center"/>
            <w:hideMark/>
          </w:tcPr>
          <w:p w:rsidR="00114949" w:rsidRPr="00114949" w:rsidRDefault="00114949" w:rsidP="00114949">
            <w:pPr>
              <w:spacing w:after="0" w:line="240" w:lineRule="auto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vAlign w:val="center"/>
            <w:hideMark/>
          </w:tcPr>
          <w:p w:rsidR="00114949" w:rsidRPr="00114949" w:rsidRDefault="00114949" w:rsidP="00114949">
            <w:pPr>
              <w:spacing w:after="0" w:line="240" w:lineRule="auto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45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Місцевий</w:t>
            </w: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br/>
              <w:t>бюджет</w:t>
            </w:r>
          </w:p>
        </w:tc>
        <w:tc>
          <w:tcPr>
            <w:tcW w:w="177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Інше (кошти підприємств та організацій, гранти, джерела незаборонені чинним законодавством</w:t>
            </w:r>
          </w:p>
        </w:tc>
      </w:tr>
      <w:tr w:rsidR="00114949" w:rsidRPr="00114949" w:rsidTr="00114949">
        <w:trPr>
          <w:trHeight w:val="645"/>
        </w:trPr>
        <w:tc>
          <w:tcPr>
            <w:tcW w:w="58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3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Підпрограма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“Охорона</w:t>
            </w:r>
            <w:proofErr w:type="spellEnd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 і раціональне використання водних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ресурсів”</w:t>
            </w:r>
            <w:proofErr w:type="spellEnd"/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756163,078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152559,17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235425,528</w:t>
            </w:r>
          </w:p>
        </w:tc>
        <w:tc>
          <w:tcPr>
            <w:tcW w:w="145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18939,98</w:t>
            </w:r>
          </w:p>
        </w:tc>
        <w:tc>
          <w:tcPr>
            <w:tcW w:w="177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349238,4</w:t>
            </w:r>
          </w:p>
        </w:tc>
      </w:tr>
      <w:tr w:rsidR="00114949" w:rsidRPr="00114949" w:rsidTr="00114949">
        <w:trPr>
          <w:trHeight w:val="645"/>
        </w:trPr>
        <w:tc>
          <w:tcPr>
            <w:tcW w:w="58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13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Підпрограма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“Охорона</w:t>
            </w:r>
            <w:proofErr w:type="spellEnd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 атмосферного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повітря”</w:t>
            </w:r>
            <w:proofErr w:type="spellEnd"/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12860,0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1400,0</w:t>
            </w:r>
          </w:p>
        </w:tc>
        <w:tc>
          <w:tcPr>
            <w:tcW w:w="145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77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11260,0</w:t>
            </w:r>
          </w:p>
        </w:tc>
      </w:tr>
      <w:tr w:rsidR="00114949" w:rsidRPr="00114949" w:rsidTr="00114949">
        <w:trPr>
          <w:trHeight w:val="645"/>
        </w:trPr>
        <w:tc>
          <w:tcPr>
            <w:tcW w:w="58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13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Підпрограма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“Поводження</w:t>
            </w:r>
            <w:proofErr w:type="spellEnd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 з промисловими і побутовими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відходами”</w:t>
            </w:r>
            <w:proofErr w:type="spellEnd"/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403537,35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100665,181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70498,903</w:t>
            </w:r>
          </w:p>
        </w:tc>
        <w:tc>
          <w:tcPr>
            <w:tcW w:w="145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2264,636</w:t>
            </w:r>
          </w:p>
        </w:tc>
        <w:tc>
          <w:tcPr>
            <w:tcW w:w="177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230108,63</w:t>
            </w:r>
          </w:p>
        </w:tc>
      </w:tr>
      <w:tr w:rsidR="00114949" w:rsidRPr="00114949" w:rsidTr="00114949">
        <w:trPr>
          <w:trHeight w:val="645"/>
        </w:trPr>
        <w:tc>
          <w:tcPr>
            <w:tcW w:w="58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13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Підпрограма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“Охорона</w:t>
            </w:r>
            <w:proofErr w:type="spellEnd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 і раціональне використання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земель”</w:t>
            </w:r>
            <w:proofErr w:type="spellEnd"/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916720,024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10600,0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143120,505</w:t>
            </w:r>
          </w:p>
        </w:tc>
        <w:tc>
          <w:tcPr>
            <w:tcW w:w="145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9302,098</w:t>
            </w:r>
          </w:p>
        </w:tc>
        <w:tc>
          <w:tcPr>
            <w:tcW w:w="177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753697,421</w:t>
            </w:r>
          </w:p>
        </w:tc>
      </w:tr>
      <w:tr w:rsidR="00114949" w:rsidRPr="00114949" w:rsidTr="00114949">
        <w:trPr>
          <w:trHeight w:val="645"/>
        </w:trPr>
        <w:tc>
          <w:tcPr>
            <w:tcW w:w="58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13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Підпрограма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“Охорона</w:t>
            </w:r>
            <w:proofErr w:type="spellEnd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 і раціональне використання природних рослинних ресурсів і ресурсів тваринного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світу”</w:t>
            </w:r>
            <w:proofErr w:type="spellEnd"/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4100,0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4080,0</w:t>
            </w:r>
          </w:p>
        </w:tc>
        <w:tc>
          <w:tcPr>
            <w:tcW w:w="145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77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20,0</w:t>
            </w:r>
          </w:p>
        </w:tc>
      </w:tr>
      <w:tr w:rsidR="00114949" w:rsidRPr="00114949" w:rsidTr="00114949">
        <w:trPr>
          <w:trHeight w:val="645"/>
        </w:trPr>
        <w:tc>
          <w:tcPr>
            <w:tcW w:w="58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3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Підпрограма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“Збереження</w:t>
            </w:r>
            <w:proofErr w:type="spellEnd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 природно-заповідного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фонду”</w:t>
            </w:r>
            <w:proofErr w:type="spellEnd"/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14300,0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10000,0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4200,0</w:t>
            </w:r>
          </w:p>
        </w:tc>
        <w:tc>
          <w:tcPr>
            <w:tcW w:w="145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77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0,0</w:t>
            </w:r>
          </w:p>
        </w:tc>
      </w:tr>
      <w:tr w:rsidR="00114949" w:rsidRPr="00114949" w:rsidTr="00114949">
        <w:trPr>
          <w:trHeight w:val="645"/>
        </w:trPr>
        <w:tc>
          <w:tcPr>
            <w:tcW w:w="58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3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Підпрограма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“Охорона</w:t>
            </w:r>
            <w:proofErr w:type="spellEnd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 і раціональне використання мінеральних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ресурсів”</w:t>
            </w:r>
            <w:proofErr w:type="spellEnd"/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108554,5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47000,0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8832,5</w:t>
            </w:r>
          </w:p>
        </w:tc>
        <w:tc>
          <w:tcPr>
            <w:tcW w:w="145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77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52722,0</w:t>
            </w:r>
          </w:p>
        </w:tc>
      </w:tr>
      <w:tr w:rsidR="00114949" w:rsidRPr="00114949" w:rsidTr="00114949">
        <w:trPr>
          <w:trHeight w:val="645"/>
        </w:trPr>
        <w:tc>
          <w:tcPr>
            <w:tcW w:w="587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35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 xml:space="preserve">Підпрограма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“Наука</w:t>
            </w:r>
            <w:proofErr w:type="spellEnd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, інформація і освіта, екологічний моніторинг, підготовка кадрів, екологічна експертиза, організація праці, забезпечення участі у діяльності міжнародних організацій природо</w:t>
            </w: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softHyphen/>
              <w:t xml:space="preserve">охоронного спрямування, впровадження економічного механізму забезпечення охорони навколишнього природного </w:t>
            </w:r>
            <w:proofErr w:type="spellStart"/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середовища”</w:t>
            </w:r>
            <w:proofErr w:type="spellEnd"/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37287,728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28322,728</w:t>
            </w:r>
          </w:p>
        </w:tc>
        <w:tc>
          <w:tcPr>
            <w:tcW w:w="145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77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  <w:t>8935,0</w:t>
            </w:r>
          </w:p>
        </w:tc>
      </w:tr>
      <w:tr w:rsidR="00114949" w:rsidRPr="00114949" w:rsidTr="00114949">
        <w:trPr>
          <w:trHeight w:val="645"/>
        </w:trPr>
        <w:tc>
          <w:tcPr>
            <w:tcW w:w="2722" w:type="dxa"/>
            <w:gridSpan w:val="2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2253522,68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320824,351</w:t>
            </w:r>
          </w:p>
        </w:tc>
        <w:tc>
          <w:tcPr>
            <w:tcW w:w="161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495880,164</w:t>
            </w:r>
          </w:p>
        </w:tc>
        <w:tc>
          <w:tcPr>
            <w:tcW w:w="1452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30836,714</w:t>
            </w:r>
          </w:p>
        </w:tc>
        <w:tc>
          <w:tcPr>
            <w:tcW w:w="1770" w:type="dxa"/>
            <w:tcBorders>
              <w:top w:val="single" w:sz="12" w:space="0" w:color="F0F0F0"/>
              <w:left w:val="single" w:sz="12" w:space="0" w:color="F0F0F0"/>
              <w:bottom w:val="single" w:sz="12" w:space="0" w:color="F0F0F0"/>
              <w:right w:val="single" w:sz="12" w:space="0" w:color="F0F0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949" w:rsidRPr="00114949" w:rsidRDefault="00114949" w:rsidP="00114949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757575"/>
                <w:sz w:val="24"/>
                <w:szCs w:val="24"/>
                <w:lang w:eastAsia="uk-UA"/>
              </w:rPr>
            </w:pPr>
            <w:r w:rsidRPr="00114949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lang w:eastAsia="uk-UA"/>
              </w:rPr>
              <w:t>1405981,451</w:t>
            </w:r>
          </w:p>
        </w:tc>
      </w:tr>
    </w:tbl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114949" w:rsidRPr="00114949" w:rsidRDefault="00114949" w:rsidP="00114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11494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 </w:t>
      </w:r>
    </w:p>
    <w:p w:rsidR="006B2910" w:rsidRDefault="006B2910"/>
    <w:sectPr w:rsidR="006B2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5893"/>
    <w:multiLevelType w:val="multilevel"/>
    <w:tmpl w:val="7474E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86AF2"/>
    <w:multiLevelType w:val="multilevel"/>
    <w:tmpl w:val="2F50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C158E2"/>
    <w:multiLevelType w:val="multilevel"/>
    <w:tmpl w:val="43D83F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37CA9"/>
    <w:multiLevelType w:val="multilevel"/>
    <w:tmpl w:val="A6F8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910"/>
    <w:rsid w:val="00114949"/>
    <w:rsid w:val="006B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4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94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1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49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11497</Words>
  <Characters>6554</Characters>
  <Application>Microsoft Office Word</Application>
  <DocSecurity>0</DocSecurity>
  <Lines>54</Lines>
  <Paragraphs>36</Paragraphs>
  <ScaleCrop>false</ScaleCrop>
  <Company/>
  <LinksUpToDate>false</LinksUpToDate>
  <CharactersWithSpaces>18015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LIUDA</cp:lastModifiedBy>
  <cp:revision>3</cp:revision>
  <cp:lastPrinted>2020-08-17T11:49:00Z</cp:lastPrinted>
  <dcterms:created xsi:type="dcterms:W3CDTF">2020-08-17T11:46:00Z</dcterms:created>
  <dcterms:modified xsi:type="dcterms:W3CDTF">2020-08-17T11:50:00Z</dcterms:modified>
</cp:coreProperties>
</file>