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4881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86B92">
        <w:rPr>
          <w:sz w:val="28"/>
          <w:szCs w:val="28"/>
          <w:u w:val="single"/>
          <w:lang w:val="uk-UA"/>
        </w:rPr>
        <w:t>19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86B92">
        <w:rPr>
          <w:sz w:val="28"/>
          <w:szCs w:val="28"/>
          <w:lang w:val="uk-UA"/>
        </w:rPr>
        <w:t>виконання бюджету Калуської міської територіальної громади за 2023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8D018D" w:rsidRPr="008D018D" w:rsidRDefault="008D018D" w:rsidP="008D018D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8D018D">
        <w:rPr>
          <w:color w:val="000000"/>
          <w:sz w:val="28"/>
          <w:szCs w:val="28"/>
          <w:lang w:val="uk-UA"/>
        </w:rPr>
        <w:t xml:space="preserve">За </w:t>
      </w:r>
      <w:r w:rsidRPr="008D018D">
        <w:rPr>
          <w:bCs/>
          <w:color w:val="000000"/>
          <w:sz w:val="28"/>
          <w:szCs w:val="28"/>
          <w:lang w:val="uk-UA"/>
        </w:rPr>
        <w:t>2023 рік</w:t>
      </w:r>
      <w:r>
        <w:rPr>
          <w:bCs/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 xml:space="preserve">до бюджету </w:t>
      </w:r>
      <w:r w:rsidRPr="008D018D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8D018D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950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 xml:space="preserve">701,8 тисяч гривень, що складає 104,1 відсотка </w:t>
      </w:r>
      <w:r w:rsidRPr="008D018D">
        <w:rPr>
          <w:color w:val="000000"/>
          <w:spacing w:val="-15"/>
          <w:sz w:val="28"/>
          <w:szCs w:val="28"/>
          <w:lang w:val="uk-UA"/>
        </w:rPr>
        <w:t>до</w:t>
      </w:r>
      <w:r>
        <w:rPr>
          <w:color w:val="000000"/>
          <w:spacing w:val="-15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затвердженої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суми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рік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із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врахуванням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змін.</w:t>
      </w:r>
    </w:p>
    <w:p w:rsidR="008D018D" w:rsidRPr="008D018D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8D018D">
        <w:rPr>
          <w:color w:val="000000"/>
          <w:sz w:val="28"/>
          <w:szCs w:val="28"/>
          <w:lang w:val="uk-UA"/>
        </w:rPr>
        <w:t>Із загальної суми надходжень міжбюджетні трансферти склали 210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307,2 тисяч гривень (субвенції з державного бюджету – 171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734,2 тисяч гривень, дотації з державного та інших бюджетів – 16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383,1 тисяч гривень та субвенції з місцевих бюджетів – 22</w:t>
      </w:r>
      <w:r>
        <w:rPr>
          <w:color w:val="000000"/>
          <w:sz w:val="28"/>
          <w:szCs w:val="28"/>
        </w:rPr>
        <w:t> </w:t>
      </w:r>
      <w:r w:rsidRPr="008D018D">
        <w:rPr>
          <w:color w:val="000000"/>
          <w:sz w:val="28"/>
          <w:szCs w:val="28"/>
          <w:lang w:val="uk-UA"/>
        </w:rPr>
        <w:t>189,9 тисяч гривень).</w:t>
      </w:r>
    </w:p>
    <w:p w:rsidR="008D018D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(без </w:t>
      </w:r>
      <w:proofErr w:type="spellStart"/>
      <w:r>
        <w:rPr>
          <w:color w:val="000000"/>
          <w:sz w:val="28"/>
          <w:szCs w:val="28"/>
        </w:rPr>
        <w:t>урахування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трансфертів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>
        <w:rPr>
          <w:color w:val="000000"/>
          <w:sz w:val="28"/>
          <w:szCs w:val="28"/>
        </w:rPr>
        <w:t xml:space="preserve"> 676 830,1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порівнянні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аналогічним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на 54 175,6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на 8,7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Затверджені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виконано</w:t>
      </w:r>
      <w:proofErr w:type="spellEnd"/>
      <w:r>
        <w:rPr>
          <w:color w:val="000000"/>
          <w:sz w:val="28"/>
          <w:szCs w:val="28"/>
        </w:rPr>
        <w:t xml:space="preserve"> на 102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.</w:t>
      </w:r>
    </w:p>
    <w:p w:rsidR="008D018D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Надходження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на доходи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</w:t>
      </w:r>
      <w:proofErr w:type="gramStart"/>
      <w:r>
        <w:rPr>
          <w:color w:val="000000"/>
          <w:sz w:val="28"/>
          <w:szCs w:val="28"/>
        </w:rPr>
        <w:t>у доходах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становить 57,7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склали</w:t>
      </w:r>
      <w:proofErr w:type="spellEnd"/>
      <w:r>
        <w:rPr>
          <w:color w:val="000000"/>
          <w:sz w:val="28"/>
          <w:szCs w:val="28"/>
        </w:rPr>
        <w:t xml:space="preserve"> 390 777,1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спад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склав</w:t>
      </w:r>
      <w:proofErr w:type="spellEnd"/>
      <w:r>
        <w:rPr>
          <w:color w:val="000000"/>
          <w:sz w:val="28"/>
          <w:szCs w:val="28"/>
        </w:rPr>
        <w:t xml:space="preserve"> 10 983,3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2,7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Затверджені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виконано</w:t>
      </w:r>
      <w:proofErr w:type="spellEnd"/>
      <w:r>
        <w:rPr>
          <w:color w:val="000000"/>
          <w:sz w:val="28"/>
          <w:szCs w:val="28"/>
        </w:rPr>
        <w:t xml:space="preserve"> на 99,8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.</w:t>
      </w:r>
    </w:p>
    <w:p w:rsidR="008D018D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Місцеві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збори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</w:t>
      </w:r>
      <w:proofErr w:type="gramStart"/>
      <w:r>
        <w:rPr>
          <w:color w:val="000000"/>
          <w:sz w:val="28"/>
          <w:szCs w:val="28"/>
        </w:rPr>
        <w:t>у доходах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становить 33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склали</w:t>
      </w:r>
      <w:proofErr w:type="spellEnd"/>
      <w:r>
        <w:rPr>
          <w:color w:val="000000"/>
          <w:sz w:val="28"/>
          <w:szCs w:val="28"/>
        </w:rPr>
        <w:t xml:space="preserve"> 223 377,1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зросли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на 45 033,7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на 25,3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Затверджені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виконано</w:t>
      </w:r>
      <w:proofErr w:type="spellEnd"/>
      <w:r>
        <w:rPr>
          <w:color w:val="000000"/>
          <w:sz w:val="28"/>
          <w:szCs w:val="28"/>
        </w:rPr>
        <w:t xml:space="preserve"> на 105,6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Найбільший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поступлень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майно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Style w:val="rvts8"/>
          <w:color w:val="000000"/>
          <w:sz w:val="28"/>
          <w:szCs w:val="28"/>
        </w:rPr>
        <w:t xml:space="preserve">– 134 268,4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(19,8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rStyle w:val="rvts8"/>
          <w:color w:val="000000"/>
          <w:sz w:val="28"/>
          <w:szCs w:val="28"/>
        </w:rPr>
        <w:t>єдиному</w:t>
      </w:r>
      <w:proofErr w:type="spellEnd"/>
      <w:r>
        <w:rPr>
          <w:rStyle w:val="rvts8"/>
          <w:color w:val="000000"/>
          <w:sz w:val="28"/>
          <w:szCs w:val="28"/>
        </w:rPr>
        <w:t xml:space="preserve"> </w:t>
      </w:r>
      <w:proofErr w:type="spellStart"/>
      <w:r>
        <w:rPr>
          <w:rStyle w:val="rvts8"/>
          <w:color w:val="000000"/>
          <w:sz w:val="28"/>
          <w:szCs w:val="28"/>
        </w:rPr>
        <w:t>податку</w:t>
      </w:r>
      <w:proofErr w:type="spellEnd"/>
      <w:r>
        <w:rPr>
          <w:rStyle w:val="rvts8"/>
          <w:color w:val="000000"/>
          <w:sz w:val="28"/>
          <w:szCs w:val="28"/>
        </w:rPr>
        <w:t xml:space="preserve"> – 89 084,9 </w:t>
      </w:r>
      <w:proofErr w:type="spellStart"/>
      <w:r>
        <w:rPr>
          <w:rStyle w:val="rvts8"/>
          <w:color w:val="000000"/>
          <w:sz w:val="28"/>
          <w:szCs w:val="28"/>
        </w:rPr>
        <w:t>тисяч</w:t>
      </w:r>
      <w:proofErr w:type="spellEnd"/>
      <w:r>
        <w:rPr>
          <w:rStyle w:val="rvts8"/>
          <w:color w:val="000000"/>
          <w:sz w:val="28"/>
          <w:szCs w:val="28"/>
        </w:rPr>
        <w:t xml:space="preserve"> </w:t>
      </w:r>
      <w:proofErr w:type="spellStart"/>
      <w:r>
        <w:rPr>
          <w:rStyle w:val="rvts8"/>
          <w:color w:val="000000"/>
          <w:sz w:val="28"/>
          <w:szCs w:val="28"/>
        </w:rPr>
        <w:t>гривень</w:t>
      </w:r>
      <w:proofErr w:type="spellEnd"/>
      <w:r>
        <w:rPr>
          <w:rStyle w:val="rvts8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(13,2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8D018D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спеціального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(без </w:t>
      </w:r>
      <w:proofErr w:type="spellStart"/>
      <w:r>
        <w:rPr>
          <w:color w:val="000000"/>
          <w:sz w:val="28"/>
          <w:szCs w:val="28"/>
        </w:rPr>
        <w:t>урахування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трансфертів</w:t>
      </w:r>
      <w:proofErr w:type="spellEnd"/>
      <w:r>
        <w:rPr>
          <w:color w:val="000000"/>
          <w:sz w:val="28"/>
          <w:szCs w:val="28"/>
        </w:rPr>
        <w:t xml:space="preserve">) у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63 564,5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на 81,7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на 28 589,5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Найбільший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поступлень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досягнуто</w:t>
      </w:r>
      <w:proofErr w:type="spellEnd"/>
      <w:r>
        <w:rPr>
          <w:color w:val="000000"/>
          <w:sz w:val="28"/>
          <w:szCs w:val="28"/>
        </w:rPr>
        <w:t xml:space="preserve"> по доходах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операцій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капіталом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42,9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– 27 282,8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надходженнях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51,5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– 32 708,5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екологічному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– 3 398,8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5,3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8D018D" w:rsidRPr="008D018D" w:rsidRDefault="008D018D" w:rsidP="008D018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D018D" w:rsidRPr="00574EDC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74EDC">
        <w:rPr>
          <w:color w:val="000000"/>
          <w:sz w:val="28"/>
          <w:szCs w:val="28"/>
        </w:rPr>
        <w:lastRenderedPageBreak/>
        <w:t xml:space="preserve">Бюджет </w:t>
      </w:r>
      <w:proofErr w:type="spellStart"/>
      <w:r w:rsidRPr="00574EDC">
        <w:rPr>
          <w:bCs/>
          <w:color w:val="000000"/>
          <w:sz w:val="28"/>
          <w:szCs w:val="28"/>
        </w:rPr>
        <w:t>Калуської</w:t>
      </w:r>
      <w:proofErr w:type="spellEnd"/>
      <w:r w:rsidRPr="00574EDC">
        <w:rPr>
          <w:bCs/>
          <w:color w:val="000000"/>
          <w:sz w:val="28"/>
          <w:szCs w:val="28"/>
        </w:rPr>
        <w:t xml:space="preserve"> </w:t>
      </w:r>
      <w:proofErr w:type="spellStart"/>
      <w:r w:rsidRPr="00574EDC">
        <w:rPr>
          <w:bCs/>
          <w:color w:val="000000"/>
          <w:sz w:val="28"/>
          <w:szCs w:val="28"/>
        </w:rPr>
        <w:t>міської</w:t>
      </w:r>
      <w:proofErr w:type="spellEnd"/>
      <w:r w:rsidRPr="00574EDC">
        <w:rPr>
          <w:bCs/>
          <w:color w:val="000000"/>
          <w:sz w:val="28"/>
          <w:szCs w:val="28"/>
        </w:rPr>
        <w:t xml:space="preserve"> </w:t>
      </w:r>
      <w:proofErr w:type="spellStart"/>
      <w:r w:rsidRPr="00574EDC">
        <w:rPr>
          <w:bCs/>
          <w:color w:val="000000"/>
          <w:sz w:val="28"/>
          <w:szCs w:val="28"/>
        </w:rPr>
        <w:t>територіальної</w:t>
      </w:r>
      <w:proofErr w:type="spellEnd"/>
      <w:r w:rsidRPr="00574EDC">
        <w:rPr>
          <w:bCs/>
          <w:color w:val="000000"/>
          <w:sz w:val="28"/>
          <w:szCs w:val="28"/>
        </w:rPr>
        <w:t xml:space="preserve"> </w:t>
      </w:r>
      <w:proofErr w:type="spellStart"/>
      <w:r w:rsidRPr="00574EDC">
        <w:rPr>
          <w:bCs/>
          <w:color w:val="000000"/>
          <w:sz w:val="28"/>
          <w:szCs w:val="28"/>
        </w:rPr>
        <w:t>громади</w:t>
      </w:r>
      <w:proofErr w:type="spellEnd"/>
      <w:r w:rsidRPr="00574EDC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виконано</w:t>
      </w:r>
      <w:proofErr w:type="spellEnd"/>
      <w:r>
        <w:rPr>
          <w:color w:val="000000"/>
          <w:sz w:val="28"/>
          <w:szCs w:val="28"/>
        </w:rPr>
        <w:t xml:space="preserve"> за 2023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цілому</w:t>
      </w:r>
      <w:proofErr w:type="spellEnd"/>
      <w:r>
        <w:rPr>
          <w:color w:val="000000"/>
          <w:sz w:val="28"/>
          <w:szCs w:val="28"/>
        </w:rPr>
        <w:t xml:space="preserve"> на 95,7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відсотка</w:t>
      </w:r>
      <w:proofErr w:type="spellEnd"/>
      <w:r w:rsidRPr="00574EDC">
        <w:rPr>
          <w:color w:val="000000"/>
          <w:sz w:val="28"/>
          <w:szCs w:val="28"/>
        </w:rPr>
        <w:t xml:space="preserve"> до </w:t>
      </w:r>
      <w:proofErr w:type="spellStart"/>
      <w:r w:rsidRPr="00574EDC">
        <w:rPr>
          <w:color w:val="000000"/>
          <w:sz w:val="28"/>
          <w:szCs w:val="28"/>
        </w:rPr>
        <w:t>затвердженої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суми</w:t>
      </w:r>
      <w:proofErr w:type="spellEnd"/>
      <w:r w:rsidRPr="00574EDC">
        <w:rPr>
          <w:color w:val="000000"/>
          <w:sz w:val="28"/>
          <w:szCs w:val="28"/>
        </w:rPr>
        <w:t xml:space="preserve"> на </w:t>
      </w:r>
      <w:proofErr w:type="spellStart"/>
      <w:r w:rsidRPr="00574EDC">
        <w:rPr>
          <w:color w:val="000000"/>
          <w:sz w:val="28"/>
          <w:szCs w:val="28"/>
        </w:rPr>
        <w:t>рік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із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врахуванн</w:t>
      </w:r>
      <w:r>
        <w:rPr>
          <w:color w:val="000000"/>
          <w:sz w:val="28"/>
          <w:szCs w:val="28"/>
        </w:rPr>
        <w:t>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, при </w:t>
      </w:r>
      <w:proofErr w:type="spellStart"/>
      <w:r>
        <w:rPr>
          <w:color w:val="000000"/>
          <w:sz w:val="28"/>
          <w:szCs w:val="28"/>
        </w:rPr>
        <w:t>плані</w:t>
      </w:r>
      <w:proofErr w:type="spellEnd"/>
      <w:r>
        <w:rPr>
          <w:color w:val="000000"/>
          <w:sz w:val="28"/>
          <w:szCs w:val="28"/>
        </w:rPr>
        <w:t xml:space="preserve"> на 2023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1 032 035,0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тисяч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гривень</w:t>
      </w:r>
      <w:proofErr w:type="spellEnd"/>
      <w:r w:rsidRPr="00574E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склали</w:t>
      </w:r>
      <w:proofErr w:type="spellEnd"/>
      <w:r>
        <w:rPr>
          <w:color w:val="000000"/>
          <w:sz w:val="28"/>
          <w:szCs w:val="28"/>
        </w:rPr>
        <w:t xml:space="preserve"> 987 178,7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тисяч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гривень</w:t>
      </w:r>
      <w:proofErr w:type="spellEnd"/>
      <w:r w:rsidRPr="00574EDC">
        <w:rPr>
          <w:color w:val="000000"/>
          <w:sz w:val="28"/>
          <w:szCs w:val="28"/>
        </w:rPr>
        <w:t xml:space="preserve">, у тому </w:t>
      </w:r>
      <w:proofErr w:type="spellStart"/>
      <w:r w:rsidRPr="00574EDC">
        <w:rPr>
          <w:color w:val="000000"/>
          <w:sz w:val="28"/>
          <w:szCs w:val="28"/>
        </w:rPr>
        <w:t>числі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фонду – 841 434,6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тисяч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гри</w:t>
      </w:r>
      <w:r>
        <w:rPr>
          <w:color w:val="000000"/>
          <w:sz w:val="28"/>
          <w:szCs w:val="28"/>
        </w:rPr>
        <w:t>вень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spellStart"/>
      <w:r>
        <w:rPr>
          <w:color w:val="000000"/>
          <w:sz w:val="28"/>
          <w:szCs w:val="28"/>
        </w:rPr>
        <w:t>спеціальному</w:t>
      </w:r>
      <w:proofErr w:type="spellEnd"/>
      <w:r>
        <w:rPr>
          <w:color w:val="000000"/>
          <w:sz w:val="28"/>
          <w:szCs w:val="28"/>
        </w:rPr>
        <w:t xml:space="preserve"> – 145 744,1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тисяч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гривень</w:t>
      </w:r>
      <w:proofErr w:type="spellEnd"/>
      <w:r w:rsidRPr="00574EDC">
        <w:rPr>
          <w:color w:val="000000"/>
          <w:sz w:val="28"/>
          <w:szCs w:val="28"/>
        </w:rPr>
        <w:t>.</w:t>
      </w:r>
    </w:p>
    <w:p w:rsidR="008D018D" w:rsidRPr="00574EDC" w:rsidRDefault="008D018D" w:rsidP="008D018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574EDC">
        <w:rPr>
          <w:color w:val="000000"/>
          <w:sz w:val="28"/>
          <w:szCs w:val="28"/>
        </w:rPr>
        <w:t>Із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загального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обсягу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видатків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загального</w:t>
      </w:r>
      <w:proofErr w:type="spellEnd"/>
      <w:r w:rsidRPr="00574EDC">
        <w:rPr>
          <w:color w:val="000000"/>
          <w:sz w:val="28"/>
          <w:szCs w:val="28"/>
        </w:rPr>
        <w:t xml:space="preserve"> фонду </w:t>
      </w:r>
      <w:proofErr w:type="spellStart"/>
      <w:r w:rsidRPr="00574EDC">
        <w:rPr>
          <w:color w:val="000000"/>
          <w:sz w:val="28"/>
          <w:szCs w:val="28"/>
        </w:rPr>
        <w:t>видатки</w:t>
      </w:r>
      <w:proofErr w:type="spellEnd"/>
      <w:r w:rsidRPr="00574EDC">
        <w:rPr>
          <w:color w:val="000000"/>
          <w:sz w:val="28"/>
          <w:szCs w:val="28"/>
        </w:rPr>
        <w:t xml:space="preserve"> по </w:t>
      </w:r>
      <w:proofErr w:type="spellStart"/>
      <w:r w:rsidRPr="00574EDC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хищених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склали</w:t>
      </w:r>
      <w:proofErr w:type="spellEnd"/>
      <w:r>
        <w:rPr>
          <w:color w:val="000000"/>
          <w:sz w:val="28"/>
          <w:szCs w:val="28"/>
        </w:rPr>
        <w:t xml:space="preserve"> 630 972,1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75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відсотка</w:t>
      </w:r>
      <w:proofErr w:type="spellEnd"/>
      <w:r w:rsidRPr="00574EDC">
        <w:rPr>
          <w:color w:val="000000"/>
          <w:sz w:val="28"/>
          <w:szCs w:val="28"/>
        </w:rPr>
        <w:t xml:space="preserve">, з </w:t>
      </w:r>
      <w:proofErr w:type="spellStart"/>
      <w:r w:rsidRPr="00574EDC">
        <w:rPr>
          <w:color w:val="000000"/>
          <w:sz w:val="28"/>
          <w:szCs w:val="28"/>
        </w:rPr>
        <w:t>яких</w:t>
      </w:r>
      <w:proofErr w:type="spellEnd"/>
      <w:r w:rsidRPr="00574EDC">
        <w:rPr>
          <w:color w:val="000000"/>
          <w:sz w:val="28"/>
          <w:szCs w:val="28"/>
        </w:rPr>
        <w:t xml:space="preserve">: на </w:t>
      </w:r>
      <w:proofErr w:type="spellStart"/>
      <w:r w:rsidRPr="00574EDC">
        <w:rPr>
          <w:color w:val="000000"/>
          <w:sz w:val="28"/>
          <w:szCs w:val="28"/>
        </w:rPr>
        <w:t>виплату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зароб</w:t>
      </w:r>
      <w:r>
        <w:rPr>
          <w:color w:val="000000"/>
          <w:sz w:val="28"/>
          <w:szCs w:val="28"/>
        </w:rPr>
        <w:t>ітної</w:t>
      </w:r>
      <w:proofErr w:type="spellEnd"/>
      <w:r>
        <w:rPr>
          <w:color w:val="000000"/>
          <w:sz w:val="28"/>
          <w:szCs w:val="28"/>
        </w:rPr>
        <w:t xml:space="preserve"> плати </w:t>
      </w:r>
      <w:proofErr w:type="spellStart"/>
      <w:r>
        <w:rPr>
          <w:color w:val="000000"/>
          <w:sz w:val="28"/>
          <w:szCs w:val="28"/>
        </w:rPr>
        <w:t>спрямовано</w:t>
      </w:r>
      <w:proofErr w:type="spellEnd"/>
      <w:r>
        <w:rPr>
          <w:color w:val="000000"/>
          <w:sz w:val="28"/>
          <w:szCs w:val="28"/>
        </w:rPr>
        <w:t xml:space="preserve"> 491 789,6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77,9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відсотка</w:t>
      </w:r>
      <w:proofErr w:type="spellEnd"/>
      <w:r w:rsidRPr="00574EDC">
        <w:rPr>
          <w:color w:val="000000"/>
          <w:sz w:val="28"/>
          <w:szCs w:val="28"/>
        </w:rPr>
        <w:t xml:space="preserve">, на оплату </w:t>
      </w:r>
      <w:proofErr w:type="spellStart"/>
      <w:r w:rsidRPr="00574EDC">
        <w:rPr>
          <w:color w:val="000000"/>
          <w:sz w:val="28"/>
          <w:szCs w:val="28"/>
        </w:rPr>
        <w:t>комунальних</w:t>
      </w:r>
      <w:proofErr w:type="spellEnd"/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ослуг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енергоносіїв</w:t>
      </w:r>
      <w:proofErr w:type="spellEnd"/>
      <w:r>
        <w:rPr>
          <w:color w:val="000000"/>
          <w:sz w:val="28"/>
          <w:szCs w:val="28"/>
        </w:rPr>
        <w:t xml:space="preserve"> – 58 446,7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(9,3 </w:t>
      </w:r>
      <w:proofErr w:type="spellStart"/>
      <w:r w:rsidRPr="00574EDC">
        <w:rPr>
          <w:color w:val="000000"/>
          <w:sz w:val="28"/>
          <w:szCs w:val="28"/>
        </w:rPr>
        <w:t>відсотка</w:t>
      </w:r>
      <w:proofErr w:type="spellEnd"/>
      <w:r w:rsidRPr="00574EDC">
        <w:rPr>
          <w:color w:val="000000"/>
          <w:sz w:val="28"/>
          <w:szCs w:val="28"/>
        </w:rPr>
        <w:t>), 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– 80 735,8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(12,8</w:t>
      </w:r>
      <w:r w:rsidRPr="00574EDC">
        <w:rPr>
          <w:color w:val="000000"/>
          <w:sz w:val="28"/>
          <w:szCs w:val="28"/>
        </w:rPr>
        <w:t xml:space="preserve"> </w:t>
      </w:r>
      <w:proofErr w:type="spellStart"/>
      <w:r w:rsidRPr="00574EDC">
        <w:rPr>
          <w:color w:val="000000"/>
          <w:sz w:val="28"/>
          <w:szCs w:val="28"/>
        </w:rPr>
        <w:t>відсотка</w:t>
      </w:r>
      <w:proofErr w:type="spellEnd"/>
      <w:r w:rsidRPr="00574EDC">
        <w:rPr>
          <w:color w:val="000000"/>
          <w:sz w:val="28"/>
          <w:szCs w:val="28"/>
        </w:rPr>
        <w:t>).</w:t>
      </w:r>
    </w:p>
    <w:p w:rsidR="008D018D" w:rsidRPr="009E7FB5" w:rsidRDefault="008D018D" w:rsidP="008D018D">
      <w:pPr>
        <w:pStyle w:val="rvps28"/>
        <w:shd w:val="clear" w:color="auto" w:fill="FFFFFF"/>
        <w:spacing w:before="0" w:beforeAutospacing="0" w:after="0" w:afterAutospacing="0"/>
        <w:ind w:left="705"/>
        <w:jc w:val="both"/>
        <w:rPr>
          <w:rStyle w:val="rvts15"/>
          <w:color w:val="000000"/>
          <w:sz w:val="28"/>
          <w:szCs w:val="28"/>
        </w:rPr>
      </w:pPr>
    </w:p>
    <w:p w:rsidR="00F164CB" w:rsidRPr="00EE78BB" w:rsidRDefault="008D018D" w:rsidP="008D018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D018D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Україні», та враховуючи вищенаведене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EE78BB" w:rsidRDefault="00EE78BB" w:rsidP="00EE78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D018D" w:rsidRDefault="008437B3" w:rsidP="008D018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8D018D" w:rsidRDefault="008D018D" w:rsidP="008D018D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8D018D">
        <w:rPr>
          <w:rStyle w:val="rvts8"/>
          <w:b/>
          <w:color w:val="000000"/>
          <w:sz w:val="28"/>
          <w:szCs w:val="28"/>
        </w:rPr>
        <w:t>1.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</w:t>
      </w:r>
      <w:proofErr w:type="spellStart"/>
      <w:r w:rsidRPr="009E7FB5">
        <w:rPr>
          <w:rStyle w:val="rvts8"/>
          <w:color w:val="000000"/>
          <w:sz w:val="28"/>
          <w:szCs w:val="28"/>
        </w:rPr>
        <w:t>громади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за 2023 </w:t>
      </w:r>
      <w:proofErr w:type="spellStart"/>
      <w:r w:rsidRPr="009E7FB5">
        <w:rPr>
          <w:rStyle w:val="rvts8"/>
          <w:color w:val="000000"/>
          <w:sz w:val="28"/>
          <w:szCs w:val="28"/>
        </w:rPr>
        <w:t>р</w:t>
      </w:r>
      <w:r>
        <w:rPr>
          <w:rStyle w:val="rvts8"/>
          <w:color w:val="000000"/>
          <w:sz w:val="28"/>
          <w:szCs w:val="28"/>
        </w:rPr>
        <w:t>ік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взяти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9E7FB5">
        <w:rPr>
          <w:rStyle w:val="rvts8"/>
          <w:color w:val="000000"/>
          <w:sz w:val="28"/>
          <w:szCs w:val="28"/>
        </w:rPr>
        <w:t>відома</w:t>
      </w:r>
      <w:proofErr w:type="spellEnd"/>
      <w:r w:rsidRPr="009E7FB5">
        <w:rPr>
          <w:rStyle w:val="rvts8"/>
          <w:color w:val="000000"/>
          <w:sz w:val="28"/>
          <w:szCs w:val="28"/>
        </w:rPr>
        <w:t>.</w:t>
      </w:r>
    </w:p>
    <w:p w:rsidR="008D018D" w:rsidRDefault="008D018D" w:rsidP="008D018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8D018D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9E7FB5">
        <w:rPr>
          <w:rStyle w:val="rvts8"/>
          <w:color w:val="000000"/>
          <w:sz w:val="28"/>
          <w:szCs w:val="28"/>
        </w:rPr>
        <w:t>звіт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</w:t>
      </w:r>
      <w:r>
        <w:rPr>
          <w:rStyle w:val="rvts8"/>
          <w:color w:val="000000"/>
          <w:sz w:val="28"/>
          <w:szCs w:val="28"/>
        </w:rPr>
        <w:t xml:space="preserve">2023 </w:t>
      </w:r>
      <w:proofErr w:type="spellStart"/>
      <w:r>
        <w:rPr>
          <w:rStyle w:val="rvts8"/>
          <w:color w:val="000000"/>
          <w:sz w:val="28"/>
          <w:szCs w:val="28"/>
        </w:rPr>
        <w:t>рі</w:t>
      </w:r>
      <w:r w:rsidRPr="009E7FB5">
        <w:rPr>
          <w:rStyle w:val="rvts8"/>
          <w:color w:val="000000"/>
          <w:sz w:val="28"/>
          <w:szCs w:val="28"/>
        </w:rPr>
        <w:t>к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подати на </w:t>
      </w:r>
      <w:proofErr w:type="spellStart"/>
      <w:r w:rsidRPr="009E7FB5">
        <w:rPr>
          <w:rStyle w:val="rvts8"/>
          <w:color w:val="000000"/>
          <w:sz w:val="28"/>
          <w:szCs w:val="28"/>
        </w:rPr>
        <w:t>розгляд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ради.</w:t>
      </w:r>
    </w:p>
    <w:p w:rsidR="008D018D" w:rsidRPr="008D018D" w:rsidRDefault="008D018D" w:rsidP="008D018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D018D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="00DB7581">
        <w:rPr>
          <w:sz w:val="28"/>
          <w:szCs w:val="28"/>
        </w:rPr>
        <w:t xml:space="preserve">Контроль за </w:t>
      </w:r>
      <w:proofErr w:type="spellStart"/>
      <w:r w:rsidR="00DB7581">
        <w:rPr>
          <w:sz w:val="28"/>
          <w:szCs w:val="28"/>
        </w:rPr>
        <w:t>виконанням</w:t>
      </w:r>
      <w:bookmarkStart w:id="1" w:name="_GoBack"/>
      <w:bookmarkEnd w:id="1"/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рішення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покласти</w:t>
      </w:r>
      <w:proofErr w:type="spellEnd"/>
      <w:r w:rsidRPr="009E7FB5">
        <w:rPr>
          <w:sz w:val="28"/>
          <w:szCs w:val="28"/>
        </w:rPr>
        <w:t xml:space="preserve"> на </w:t>
      </w:r>
      <w:proofErr w:type="spellStart"/>
      <w:r w:rsidRPr="009E7FB5">
        <w:rPr>
          <w:sz w:val="28"/>
          <w:szCs w:val="28"/>
        </w:rPr>
        <w:t>заступників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голови</w:t>
      </w:r>
      <w:proofErr w:type="spellEnd"/>
      <w:r w:rsidRPr="009E7FB5">
        <w:rPr>
          <w:sz w:val="28"/>
          <w:szCs w:val="28"/>
        </w:rPr>
        <w:t xml:space="preserve"> з </w:t>
      </w:r>
      <w:proofErr w:type="spellStart"/>
      <w:r w:rsidRPr="009E7FB5">
        <w:rPr>
          <w:sz w:val="28"/>
          <w:szCs w:val="28"/>
        </w:rPr>
        <w:t>питань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діяльності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виконавчих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органів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міської</w:t>
      </w:r>
      <w:proofErr w:type="spellEnd"/>
      <w:r w:rsidRPr="009E7FB5">
        <w:rPr>
          <w:sz w:val="28"/>
          <w:szCs w:val="28"/>
        </w:rPr>
        <w:t xml:space="preserve"> ради.</w:t>
      </w:r>
    </w:p>
    <w:p w:rsidR="00DE2758" w:rsidRPr="00B75FA7" w:rsidRDefault="00DE2758" w:rsidP="00EE78B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07714" w:rsidRDefault="0010771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D018D" w:rsidRDefault="008D018D" w:rsidP="00AB10E1">
      <w:pPr>
        <w:tabs>
          <w:tab w:val="left" w:pos="709"/>
        </w:tabs>
        <w:jc w:val="both"/>
        <w:rPr>
          <w:sz w:val="28"/>
          <w:szCs w:val="28"/>
        </w:rPr>
      </w:pPr>
    </w:p>
    <w:sectPr w:rsidR="008D01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C9" w:rsidRDefault="002300C9">
      <w:r>
        <w:separator/>
      </w:r>
    </w:p>
  </w:endnote>
  <w:endnote w:type="continuationSeparator" w:id="0">
    <w:p w:rsidR="002300C9" w:rsidRDefault="002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C9" w:rsidRDefault="002300C9">
      <w:r>
        <w:separator/>
      </w:r>
    </w:p>
  </w:footnote>
  <w:footnote w:type="continuationSeparator" w:id="0">
    <w:p w:rsidR="002300C9" w:rsidRDefault="0023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758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79A1"/>
    <w:multiLevelType w:val="multilevel"/>
    <w:tmpl w:val="D77E96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C229D"/>
    <w:multiLevelType w:val="hybridMultilevel"/>
    <w:tmpl w:val="8924C7DC"/>
    <w:lvl w:ilvl="0" w:tplc="D778D4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CE2478"/>
    <w:multiLevelType w:val="hybridMultilevel"/>
    <w:tmpl w:val="89B8FA80"/>
    <w:lvl w:ilvl="0" w:tplc="BC021466">
      <w:start w:val="1"/>
      <w:numFmt w:val="decimal"/>
      <w:lvlText w:val="%1."/>
      <w:lvlJc w:val="left"/>
      <w:pPr>
        <w:ind w:left="1833" w:hanging="84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641459E"/>
    <w:multiLevelType w:val="multilevel"/>
    <w:tmpl w:val="52AE2FE2"/>
    <w:lvl w:ilvl="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0" w:hanging="2160"/>
      </w:pPr>
      <w:rPr>
        <w:rFonts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96A43"/>
    <w:multiLevelType w:val="hybridMultilevel"/>
    <w:tmpl w:val="88244D92"/>
    <w:lvl w:ilvl="0" w:tplc="6B1C9510">
      <w:start w:val="1"/>
      <w:numFmt w:val="decimal"/>
      <w:lvlText w:val="%1."/>
      <w:lvlJc w:val="left"/>
      <w:pPr>
        <w:ind w:left="1833" w:hanging="84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4805B34"/>
    <w:multiLevelType w:val="multilevel"/>
    <w:tmpl w:val="4B36EA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6F526A"/>
    <w:multiLevelType w:val="multilevel"/>
    <w:tmpl w:val="B4E2D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546F8"/>
    <w:multiLevelType w:val="hybridMultilevel"/>
    <w:tmpl w:val="854630AC"/>
    <w:lvl w:ilvl="0" w:tplc="8C80A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01117"/>
    <w:multiLevelType w:val="hybridMultilevel"/>
    <w:tmpl w:val="C058924C"/>
    <w:lvl w:ilvl="0" w:tplc="693CB3A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36"/>
  </w:num>
  <w:num w:numId="5">
    <w:abstractNumId w:val="24"/>
  </w:num>
  <w:num w:numId="6">
    <w:abstractNumId w:val="32"/>
  </w:num>
  <w:num w:numId="7">
    <w:abstractNumId w:val="1"/>
  </w:num>
  <w:num w:numId="8">
    <w:abstractNumId w:val="26"/>
  </w:num>
  <w:num w:numId="9">
    <w:abstractNumId w:val="23"/>
  </w:num>
  <w:num w:numId="10">
    <w:abstractNumId w:val="17"/>
  </w:num>
  <w:num w:numId="11">
    <w:abstractNumId w:val="11"/>
  </w:num>
  <w:num w:numId="12">
    <w:abstractNumId w:val="7"/>
  </w:num>
  <w:num w:numId="13">
    <w:abstractNumId w:val="21"/>
  </w:num>
  <w:num w:numId="14">
    <w:abstractNumId w:val="19"/>
  </w:num>
  <w:num w:numId="15">
    <w:abstractNumId w:val="9"/>
  </w:num>
  <w:num w:numId="16">
    <w:abstractNumId w:val="2"/>
  </w:num>
  <w:num w:numId="17">
    <w:abstractNumId w:val="14"/>
  </w:num>
  <w:num w:numId="18">
    <w:abstractNumId w:val="35"/>
  </w:num>
  <w:num w:numId="19">
    <w:abstractNumId w:val="25"/>
  </w:num>
  <w:num w:numId="20">
    <w:abstractNumId w:val="33"/>
  </w:num>
  <w:num w:numId="21">
    <w:abstractNumId w:val="5"/>
  </w:num>
  <w:num w:numId="22">
    <w:abstractNumId w:val="0"/>
  </w:num>
  <w:num w:numId="23">
    <w:abstractNumId w:val="29"/>
  </w:num>
  <w:num w:numId="24">
    <w:abstractNumId w:val="27"/>
  </w:num>
  <w:num w:numId="25">
    <w:abstractNumId w:val="34"/>
  </w:num>
  <w:num w:numId="26">
    <w:abstractNumId w:val="28"/>
  </w:num>
  <w:num w:numId="27">
    <w:abstractNumId w:val="16"/>
  </w:num>
  <w:num w:numId="28">
    <w:abstractNumId w:val="8"/>
  </w:num>
  <w:num w:numId="29">
    <w:abstractNumId w:val="30"/>
  </w:num>
  <w:num w:numId="30">
    <w:abstractNumId w:val="6"/>
  </w:num>
  <w:num w:numId="31">
    <w:abstractNumId w:val="10"/>
  </w:num>
  <w:num w:numId="32">
    <w:abstractNumId w:val="12"/>
  </w:num>
  <w:num w:numId="33">
    <w:abstractNumId w:val="20"/>
  </w:num>
  <w:num w:numId="34">
    <w:abstractNumId w:val="22"/>
  </w:num>
  <w:num w:numId="35">
    <w:abstractNumId w:val="13"/>
  </w:num>
  <w:num w:numId="36">
    <w:abstractNumId w:val="1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714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0C9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78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90B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31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018D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6B92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5C3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6D4D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5AEC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534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3AC1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B758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203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8BB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02FD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rvps28">
    <w:name w:val="rvps28"/>
    <w:basedOn w:val="a"/>
    <w:rsid w:val="008D018D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8D018D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8D018D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20B96-4236-4CAC-9414-BE7C881D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2024-01-24T09:08:00Z</cp:lastPrinted>
  <dcterms:created xsi:type="dcterms:W3CDTF">2024-03-01T12:40:00Z</dcterms:created>
  <dcterms:modified xsi:type="dcterms:W3CDTF">2024-03-04T07:14:00Z</dcterms:modified>
</cp:coreProperties>
</file>