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86" w:rsidRPr="00A34A4A" w:rsidRDefault="00CF5008" w:rsidP="004203ED">
      <w:pPr>
        <w:pStyle w:val="aa"/>
        <w:shd w:val="clear" w:color="auto" w:fill="FDFDFD"/>
        <w:spacing w:before="28" w:after="0" w:line="300" w:lineRule="atLeast"/>
        <w:jc w:val="center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 xml:space="preserve">АНАЛІЗ РЕГУЛЯТОРНОГО </w:t>
      </w:r>
      <w:r w:rsidR="00000086" w:rsidRPr="00A34A4A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ВПЛИВУ</w:t>
      </w:r>
    </w:p>
    <w:p w:rsidR="00000086" w:rsidRPr="00A34A4A" w:rsidRDefault="00CF5008" w:rsidP="004203ED">
      <w:pPr>
        <w:pStyle w:val="aa"/>
        <w:shd w:val="clear" w:color="auto" w:fill="FDFDFD"/>
        <w:spacing w:before="28" w:after="0" w:line="300" w:lineRule="atLeast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до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</w:t>
      </w:r>
      <w:proofErr w:type="spellStart"/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про</w:t>
      </w:r>
      <w:r w:rsidR="004203ED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є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кту</w:t>
      </w:r>
      <w:proofErr w:type="spellEnd"/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рішення </w:t>
      </w:r>
      <w:r w:rsidR="00104847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виконавчого комітету </w:t>
      </w:r>
      <w:r w:rsidR="005A3545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Калуської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міської ради</w:t>
      </w:r>
    </w:p>
    <w:p w:rsidR="00000086" w:rsidRPr="00A34A4A" w:rsidRDefault="00000086" w:rsidP="004203ED">
      <w:pPr>
        <w:pStyle w:val="aa"/>
        <w:shd w:val="clear" w:color="auto" w:fill="FDFDFD"/>
        <w:spacing w:before="28"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„Про </w:t>
      </w:r>
      <w:r w:rsidR="004203ED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затвердження</w:t>
      </w: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</w:t>
      </w:r>
      <w:r w:rsidR="001D496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Правил приймання стічних вод до системи централізованого водовідведення Калуської міської територіальної громади</w:t>
      </w: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”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 </w:t>
      </w:r>
    </w:p>
    <w:p w:rsidR="00000086" w:rsidRPr="00A34A4A" w:rsidRDefault="004203ED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ab/>
      </w:r>
      <w:r w:rsidR="00FE7E5E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I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. </w:t>
      </w:r>
      <w:r w:rsidR="00DA0302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П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роблеми</w:t>
      </w:r>
      <w:r w:rsidR="00DA0302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, які передбачається розв’язати</w:t>
      </w:r>
    </w:p>
    <w:p w:rsidR="005E4E4F" w:rsidRPr="00A34A4A" w:rsidRDefault="00DA0302" w:rsidP="00C25732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proofErr w:type="spellStart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Cистема</w:t>
      </w:r>
      <w:proofErr w:type="spellEnd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централізованого водовідведення </w:t>
      </w:r>
      <w:proofErr w:type="spellStart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м.</w:t>
      </w:r>
      <w:r w:rsidR="005A3545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Калуш</w:t>
      </w:r>
      <w:proofErr w:type="spellEnd"/>
      <w:r w:rsidR="00A92635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</w:t>
      </w:r>
      <w:r w:rsidR="00A92635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та мереж водовідведення Калуської міської територіальної громади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призначена для приймання, відводу стічних вод з подальшим випуском їх у</w:t>
      </w:r>
      <w:r w:rsidR="005A3545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/>
        </w:rPr>
        <w:t xml:space="preserve"> </w:t>
      </w:r>
      <w:r w:rsidR="005A3545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подачу стоків на очисні споруди ТОВ «</w:t>
      </w:r>
      <w:proofErr w:type="spellStart"/>
      <w:r w:rsidR="005A3545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Карпатнафтохім</w:t>
      </w:r>
      <w:proofErr w:type="spellEnd"/>
      <w:r w:rsidR="005A3545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».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Якість очистки стічних вод, що випускаються 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ТОВ «</w:t>
      </w:r>
      <w:proofErr w:type="spellStart"/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Карпатнафтохім</w:t>
      </w:r>
      <w:proofErr w:type="spellEnd"/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»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, повинна відповідати гранично допустимому скиду згідно затвердженого дозволу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на спеціальне водокористування</w:t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. 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До системи централізованого водовідведення м.</w:t>
      </w:r>
      <w:r w:rsidR="001D496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Калуш приймаються стічні води від населення та стічні води від установ, організацій і промислових підприємств (далі споживачі), які за якістю і режимом скиду пов</w:t>
      </w:r>
      <w:r w:rsidR="001D496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инні відповідати вимогам</w:t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ц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их </w:t>
      </w:r>
      <w:r w:rsidR="001D496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Правил приймання стічних вод до системи централізованого водовідведення Калуської міської територіальної громади (надалі Правила)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, затверджених місцевими органами виконавчої влади. Правила регулюють взаємовідносини між </w:t>
      </w:r>
      <w:r w:rsidR="004B5796">
        <w:rPr>
          <w:rFonts w:ascii="Times New Roman" w:hAnsi="Times New Roman" w:cs="Times New Roman"/>
          <w:color w:val="auto"/>
          <w:sz w:val="26"/>
          <w:szCs w:val="26"/>
          <w:lang w:val="uk-UA"/>
        </w:rPr>
        <w:t>виконавцем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та юридичними особами незалежно від форм власності та відомчої належності, фізичних осіб підприємців, фізичних осіб, які провадять незалежну професійну діяльні</w:t>
      </w:r>
      <w:r w:rsidR="004203ED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сть і взяті на облік, як </w:t>
      </w:r>
      <w:proofErr w:type="spellStart"/>
      <w:r w:rsidR="004203ED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самозай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няті</w:t>
      </w:r>
      <w:proofErr w:type="spellEnd"/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особи у контролюючих органах згідно з </w:t>
      </w:r>
      <w:r w:rsidR="00AD7D4A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Податковим кодексом України , я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кі скидають стічні води д</w:t>
      </w:r>
      <w:r w:rsidR="004B5796">
        <w:rPr>
          <w:rFonts w:ascii="Times New Roman" w:hAnsi="Times New Roman" w:cs="Times New Roman"/>
          <w:color w:val="auto"/>
          <w:sz w:val="26"/>
          <w:szCs w:val="26"/>
          <w:lang w:val="uk-UA"/>
        </w:rPr>
        <w:t>о системи централізованого водо</w:t>
      </w:r>
      <w:r w:rsidR="00D62A5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відведення.</w:t>
      </w:r>
    </w:p>
    <w:p w:rsidR="006F3A5A" w:rsidRPr="00A34A4A" w:rsidRDefault="006F3A5A" w:rsidP="0095031F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5E4E4F" w:rsidRPr="00A34A4A" w:rsidRDefault="005E4E4F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203ED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Даним регуляторним актом пропонується вирішити такі питання:</w:t>
      </w:r>
    </w:p>
    <w:p w:rsidR="00CD091D" w:rsidRPr="00A34A4A" w:rsidRDefault="00CD091D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- безаварійної роботи, безпечної експлуатації і довговічності мереж водовідведення та системи централізованого водовідведення, запобігання замулювання, </w:t>
      </w:r>
      <w:proofErr w:type="spellStart"/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зажирювання</w:t>
      </w:r>
      <w:proofErr w:type="spellEnd"/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, закупорювання та загазованості трубопроводів  мереж водовідведення, а також агресивного впливу на матеріал труб, колодязів, устаткування і на здоров’я обслуговуючого персоналу;</w:t>
      </w:r>
    </w:p>
    <w:p w:rsidR="00CD091D" w:rsidRPr="00A34A4A" w:rsidRDefault="00CD091D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забезпечення якісної і безаварійної роботи очисних споруд ТОВ «</w:t>
      </w:r>
      <w:proofErr w:type="spellStart"/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Карпатнафтохім</w:t>
      </w:r>
      <w:proofErr w:type="spellEnd"/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» (запобігання порушення технологічного режиму очищення стічних вод внаслідок  надходження наднормативно забруднених речовин на очисні споруди).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запобігання порушенням у роботі мереж і споруд централізованого водовідведення;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підвищення ефективності роботи цих споруд і безпеки їх експлуатації та забезпечення охорони навколишнього середовища від забруднення скидами стічних вод;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впровадження ефективного контролю щодо скиду стічних вод до системи централізованого водовідведення;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затвердження порядку виявлення порушень та впровадження заходів впливу у разі порушення вимог щодо скиду стічних вод до системи централізованого водовідведення (стягнення з порушників плати та порядок визначення розміру цієї плати; відключення порушників від системи централізованого водопостачання та водовідведення; відшкодування споживачами, з вини яких сталося порушення природоохоронного законодавства, сум, стягнених з виробника за відповідне порушення).</w:t>
      </w:r>
    </w:p>
    <w:p w:rsidR="005E4E4F" w:rsidRPr="00A34A4A" w:rsidRDefault="0095031F" w:rsidP="0095031F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Для зменшення виникаючих протиріч між </w:t>
      </w:r>
      <w:r w:rsidR="004B5796">
        <w:rPr>
          <w:rFonts w:ascii="Times New Roman" w:hAnsi="Times New Roman" w:cs="Times New Roman"/>
          <w:color w:val="auto"/>
          <w:sz w:val="26"/>
          <w:szCs w:val="26"/>
          <w:lang w:val="uk-UA"/>
        </w:rPr>
        <w:t>виконавцем</w:t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та споживачами новими Правилами чітко прописуються: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- права та обов'язки </w:t>
      </w:r>
      <w:r w:rsidR="004B5796">
        <w:rPr>
          <w:rFonts w:ascii="Times New Roman" w:hAnsi="Times New Roman" w:cs="Times New Roman"/>
          <w:color w:val="auto"/>
          <w:sz w:val="26"/>
          <w:szCs w:val="26"/>
          <w:lang w:val="uk-UA"/>
        </w:rPr>
        <w:t>виконавця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і споживачів, які користуються послугами водовідведення;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відповідальність за невиконання правил;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загальні вимоги до складу та властивостей стічних вод, які скидаються до систем централізованого водовідведення;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визначення допустимих концентрацій забруднюючих речовин у стічних водах споживачів;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lastRenderedPageBreak/>
        <w:t>- заходи впливу у разі порушення вимог щодо скиду стічних вод до систем ц</w:t>
      </w:r>
      <w:r w:rsidR="001D496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ентралізованого водовідведення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порядок контролю за скидом стічних вод до систем це</w:t>
      </w:r>
      <w:r w:rsidR="00CD091D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нтралізованого водовідведення 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встановлюється чіткий перелік забруднюючих речовин, що заборонені до скидання в системи централізованого водовідведення;</w:t>
      </w:r>
    </w:p>
    <w:p w:rsidR="005E4E4F" w:rsidRPr="00A34A4A" w:rsidRDefault="005E4E4F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затверджується чітка інструкція про порядок відбору проб для контролю якості стічних вод споживачів;</w:t>
      </w:r>
    </w:p>
    <w:p w:rsidR="005E4E4F" w:rsidRPr="00A34A4A" w:rsidRDefault="004203ED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Метою зазначеного регуляторного акту є запобігання порушенням у роботі мереж і споруд </w:t>
      </w:r>
      <w:r w:rsidR="00CF35E5">
        <w:rPr>
          <w:rFonts w:ascii="Times New Roman" w:hAnsi="Times New Roman" w:cs="Times New Roman"/>
          <w:color w:val="auto"/>
          <w:sz w:val="26"/>
          <w:szCs w:val="26"/>
          <w:lang w:val="uk-UA"/>
        </w:rPr>
        <w:t>водовідведення</w:t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споживачів.</w:t>
      </w:r>
    </w:p>
    <w:p w:rsidR="00000086" w:rsidRPr="00A34A4A" w:rsidRDefault="004C50FB" w:rsidP="00DE244E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Враховуючи викладене вище, прийняття Проекту рішення дозволить встановити єдині взаємні права та обов’язки </w:t>
      </w:r>
      <w:r w:rsidR="004B5796">
        <w:rPr>
          <w:rFonts w:ascii="Times New Roman" w:hAnsi="Times New Roman" w:cs="Times New Roman"/>
          <w:color w:val="auto"/>
          <w:sz w:val="26"/>
          <w:szCs w:val="26"/>
          <w:lang w:val="uk-UA"/>
        </w:rPr>
        <w:t>виконавця</w:t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, та споживачів які скидають стічні води до системи централізованого водовідведення міста </w:t>
      </w:r>
      <w:r w:rsidR="00AD7D4A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Калуш</w:t>
      </w:r>
      <w:r w:rsidR="00A92635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</w:t>
      </w:r>
      <w:r w:rsidR="00A92635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та мереж водовідведення Калуської міської територіальної громади</w:t>
      </w:r>
      <w:r w:rsidR="00AD7D4A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</w:t>
      </w:r>
      <w:r w:rsidR="00AD7D4A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з подальшим випуском їх у подачу стоків на очисні споруди ТОВ «</w:t>
      </w:r>
      <w:proofErr w:type="spellStart"/>
      <w:r w:rsidR="00AD7D4A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Карпатнафтохім</w:t>
      </w:r>
      <w:proofErr w:type="spellEnd"/>
      <w:r w:rsidR="00AD7D4A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»</w:t>
      </w:r>
      <w:r w:rsidR="005E4E4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з урахуванням впливу такої діяльності на навколишнє природне середовище та здоров’я людей.</w:t>
      </w:r>
    </w:p>
    <w:p w:rsidR="002602F9" w:rsidRPr="00A34A4A" w:rsidRDefault="00DA0302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З метою підвищення ефективності та надійності функціонування системи</w:t>
      </w:r>
      <w:r w:rsidR="00226452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централізованого</w:t>
      </w:r>
      <w:bookmarkStart w:id="0" w:name="_GoBack"/>
      <w:bookmarkEnd w:id="0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водовідведення міста </w:t>
      </w:r>
      <w:r w:rsidR="00A81EFC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Калуш</w:t>
      </w:r>
      <w:r w:rsidR="00A92635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</w:t>
      </w:r>
      <w:r w:rsidR="00A92635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та мереж водовідведення Калуської міської територіальної громади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, відповідно до вимог Законів України: „Про питну воду, питне вод</w:t>
      </w:r>
      <w:r w:rsidR="000B7FB3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опостачання та водовідведення”, 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”Про охорону навколишнього природного середовища”, виникла необхідність у затвердженні Правил приймання стічних вод </w:t>
      </w:r>
      <w:r w:rsidR="004C6D9C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до системи централізованого водовідведення Калуської міської територіальної громади.</w:t>
      </w:r>
    </w:p>
    <w:p w:rsidR="00000086" w:rsidRPr="00A34A4A" w:rsidRDefault="00CF5008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ab/>
      </w:r>
      <w:r w:rsidR="00A81EFC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Ці Правила розроблені відповідно до</w:t>
      </w:r>
      <w:r w:rsidR="004324DB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:</w:t>
      </w:r>
      <w:r w:rsidR="00A81EFC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Закону України «Про охорону навколишнього природного середо</w:t>
      </w:r>
      <w:r w:rsidR="004203ED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вища», Водного кодексу України, </w:t>
      </w:r>
      <w:r w:rsidR="00A81EFC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Податкового кодексу України, Правил охорони поверхневих вод від забруднення зворотними водами, затверджених постановою Кабінету Міністрів України від 25.03.1999 № 465, державни</w:t>
      </w:r>
      <w:r w:rsidR="004203ED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х</w:t>
      </w:r>
      <w:r w:rsidR="00A81EFC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будівельни</w:t>
      </w:r>
      <w:r w:rsidR="004203ED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х нормам</w:t>
      </w:r>
      <w:r w:rsidR="00A81EFC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ДБН В.2.5-75:2013 «Каналізація. Зовнішні мережі та споруди»,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ЖКГ України від 27.06.2008  № 190 (із змінами) (далі – Правила користування), та Правил приймання стічних вод до системи централізованого водовідведення, затверджених наказом Міністерства регіонального розвитку, будівництва та житлово-комунального господарства України від 01.12.2017 № 316 (із змінами) (далі – Правила приймання) та з урахуванням специфіки функціонування системи централізованого водовідведення міста Калуш та мереж водовідведення Калуської міської територіальної громади, які мають централізовану систему водопостачання та водовідведення.</w:t>
      </w:r>
    </w:p>
    <w:p w:rsidR="006F3A5A" w:rsidRPr="00A34A4A" w:rsidRDefault="006F3A5A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000086" w:rsidRPr="00A34A4A" w:rsidRDefault="00BF17CF" w:rsidP="004203ED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</w:pPr>
      <w:r w:rsidRPr="00A34A4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  <w:tab/>
      </w:r>
      <w:r w:rsidR="00FE7E5E" w:rsidRPr="00A34A4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  <w:t>II</w:t>
      </w:r>
      <w:r w:rsidR="00000086" w:rsidRPr="00A34A4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  <w:t>. Цілі державного регулювання.</w:t>
      </w:r>
    </w:p>
    <w:p w:rsidR="00235D1E" w:rsidRPr="00A34A4A" w:rsidRDefault="00BF17CF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Основними цілями прийняття регуляторного </w:t>
      </w:r>
      <w:proofErr w:type="spellStart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акта</w:t>
      </w:r>
      <w:proofErr w:type="spellEnd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є:</w:t>
      </w:r>
    </w:p>
    <w:p w:rsidR="00000086" w:rsidRPr="00A34A4A" w:rsidRDefault="00000086" w:rsidP="004203ED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запобігання порушенням у роботі системи централізованого водовідведення;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-підвищення ефективності роботи системи централізованого водовідведення і безпеки її експлуатації;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-забезпечення охорони навколишнього природного середовища від забруднення скидами стічних вод;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провадження ефективного контролю щодо скиду стічних вод до системи централізованого водовідведення;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lastRenderedPageBreak/>
        <w:t>- мотивування підприємств, організацій, установ та фізичних осіб-підприємців дотримання встановлених норм ДК забруднюючих речовин стічних вод при скиді до системи централізованого водовідведення;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затвердження порядку виявлення та впровадження заходів впливу у разі порушення вимог щодо скиду стічних вод до системи централізованого водовідведення (відключення від системи централізованого водопостачання та водовідведення, стягнення з виробника грошових сум за порушення природоохоронного законодавства, тощо);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</w:t>
      </w:r>
      <w:r w:rsidR="00BF17C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безпечна експлуатація і довговічність мереж системи централізованого водовідведення (запобігання замулювання, </w:t>
      </w:r>
      <w:proofErr w:type="spellStart"/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зажирювання</w:t>
      </w:r>
      <w:proofErr w:type="spellEnd"/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, закупорки і загазованості трубопроводів, а також агресивного впливу на матеріал труб, колодязів, устаткування й здоров’я обслуговуючого персоналу);</w:t>
      </w:r>
    </w:p>
    <w:p w:rsidR="00000086" w:rsidRPr="00A34A4A" w:rsidRDefault="004C3FBB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</w:t>
      </w:r>
      <w:r w:rsidR="00BF17C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якісна 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робота очисних споруд </w:t>
      </w:r>
      <w:r w:rsidR="00A81EFC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ТОВ «</w:t>
      </w:r>
      <w:proofErr w:type="spellStart"/>
      <w:r w:rsidR="00A81EFC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Карпатнафтохім</w:t>
      </w:r>
      <w:proofErr w:type="spellEnd"/>
      <w:r w:rsidR="00A81EFC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», 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поліпшення очистки стічних вод (запобігання порушення технологічного режиму очищення стічних вод внаслідок наднормативного (токсичного) надходження забруднюючих речовин);</w:t>
      </w:r>
    </w:p>
    <w:p w:rsidR="00000086" w:rsidRPr="00A34A4A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</w:t>
      </w:r>
      <w:r w:rsidR="00980D5E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встановлення допустимої концентрації для кожної забруднюючої речовини, що може скидатися споживачами в систему централізованого водовідведення, відповідальність та міри впливу за їх порушення, а також відображення місцевих особливостей приймання стічних вод до системи централізованого водовідведення.</w:t>
      </w:r>
    </w:p>
    <w:p w:rsidR="006F3A5A" w:rsidRPr="00A34A4A" w:rsidRDefault="006F3A5A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000086" w:rsidRPr="00A34A4A" w:rsidRDefault="00FE7E5E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III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. Визначення та оцінка альтернативних способів досягнення </w:t>
      </w:r>
      <w:r w:rsidR="00980D5E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зазначених 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цілей</w:t>
      </w:r>
      <w:r w:rsidR="006F3A5A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.</w:t>
      </w:r>
    </w:p>
    <w:p w:rsidR="006F3A5A" w:rsidRPr="00A34A4A" w:rsidRDefault="006F3A5A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p w:rsidR="00000086" w:rsidRPr="00A34A4A" w:rsidRDefault="00CF5008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ab/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3.1 Визначення</w:t>
      </w:r>
      <w:r w:rsidR="00980D5E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альтернативних способів.</w:t>
      </w:r>
    </w:p>
    <w:p w:rsidR="006F3A5A" w:rsidRPr="00A34A4A" w:rsidRDefault="006F3A5A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tbl>
      <w:tblPr>
        <w:tblW w:w="0" w:type="auto"/>
        <w:tblInd w:w="-8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8381"/>
      </w:tblGrid>
      <w:tr w:rsidR="00000086" w:rsidRPr="00A34A4A" w:rsidTr="00C25732">
        <w:tc>
          <w:tcPr>
            <w:tcW w:w="19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Вид альтернативи</w:t>
            </w:r>
          </w:p>
        </w:tc>
        <w:tc>
          <w:tcPr>
            <w:tcW w:w="83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Опис альтернативи</w:t>
            </w:r>
          </w:p>
        </w:tc>
      </w:tr>
      <w:tr w:rsidR="00000086" w:rsidRPr="00A34A4A" w:rsidTr="00C25732">
        <w:tc>
          <w:tcPr>
            <w:tcW w:w="19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F727A8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Відсутність регулювання</w:t>
            </w:r>
          </w:p>
        </w:tc>
        <w:tc>
          <w:tcPr>
            <w:tcW w:w="83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6C5" w:rsidRPr="00A34A4A" w:rsidRDefault="004556C5" w:rsidP="002602F9">
            <w:pPr>
              <w:pStyle w:val="a9"/>
              <w:shd w:val="clear" w:color="auto" w:fill="FDFDFD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1. Призведе до порушень у роботі систем централізованого водо</w:t>
            </w:r>
            <w:r w:rsidR="00235D1E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-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відведення, зниження ефективності роботи системи і до небезпечності її експлуатації та незабезпечення охорони навколишнього природного середовища від забруднення скидами стічних вод підприємств м.</w:t>
            </w:r>
            <w:r w:rsidR="00235D1E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="00A92635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Калуш та Калуської міської територіальної громади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000086" w:rsidRPr="00A34A4A" w:rsidRDefault="004556C5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2. </w:t>
            </w:r>
            <w:r w:rsidR="00000086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</w:t>
            </w:r>
            <w:r w:rsidR="00F727A8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ідсутність належного контролю за виконанням поставлених завдань</w:t>
            </w:r>
          </w:p>
        </w:tc>
      </w:tr>
      <w:tr w:rsidR="00000086" w:rsidRPr="00CF35E5" w:rsidTr="00C25732">
        <w:tc>
          <w:tcPr>
            <w:tcW w:w="19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F727A8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Запровадження регулювання </w:t>
            </w:r>
          </w:p>
        </w:tc>
        <w:tc>
          <w:tcPr>
            <w:tcW w:w="83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6C5" w:rsidRPr="00A34A4A" w:rsidRDefault="004556C5" w:rsidP="002602F9">
            <w:pPr>
              <w:pStyle w:val="a9"/>
              <w:shd w:val="clear" w:color="auto" w:fill="FDFDFD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Запобігання порушень у роботі систем централізованого водовідведення,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підприємств.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</w:p>
        </w:tc>
      </w:tr>
    </w:tbl>
    <w:p w:rsidR="006F3A5A" w:rsidRPr="00A34A4A" w:rsidRDefault="006F3A5A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3.2</w:t>
      </w:r>
      <w:r w:rsidR="006F3A5A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.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Оцінка вибраних альтернативних способів досягнення цілей.</w:t>
      </w:r>
    </w:p>
    <w:p w:rsidR="006F3A5A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Нижче наведено опис </w:t>
      </w:r>
      <w:proofErr w:type="spellStart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вигод</w:t>
      </w:r>
      <w:proofErr w:type="spellEnd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та витрат за кожною альтернативою для сфер інтересів держави, громадян та суб’єктів господарювання.</w:t>
      </w: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3.2.1</w:t>
      </w:r>
      <w:r w:rsidR="006F3A5A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.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Оцінка впливу на сферу інтересів держави.</w:t>
      </w:r>
    </w:p>
    <w:p w:rsidR="006F3A5A" w:rsidRPr="00A34A4A" w:rsidRDefault="006F3A5A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0" w:type="auto"/>
        <w:tblInd w:w="-8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5695"/>
        <w:gridCol w:w="2693"/>
      </w:tblGrid>
      <w:tr w:rsidR="00000086" w:rsidRPr="00A34A4A" w:rsidTr="00EE2732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Вид альтернативи</w:t>
            </w:r>
          </w:p>
        </w:tc>
        <w:tc>
          <w:tcPr>
            <w:tcW w:w="56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Вигоди</w:t>
            </w:r>
          </w:p>
        </w:tc>
        <w:tc>
          <w:tcPr>
            <w:tcW w:w="269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Витрати</w:t>
            </w:r>
          </w:p>
        </w:tc>
      </w:tr>
      <w:tr w:rsidR="00000086" w:rsidRPr="00A34A4A" w:rsidTr="00EE2732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Альтернатива 1</w:t>
            </w:r>
          </w:p>
        </w:tc>
        <w:tc>
          <w:tcPr>
            <w:tcW w:w="56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Вве</w:t>
            </w:r>
            <w:r w:rsidR="00310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дення в дію запропонованого акту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забезпечить: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- запобігання порушення технологічного режиму очищення стічних вод внаслідок 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lastRenderedPageBreak/>
              <w:t>наднормативного надходження забруднюючих речовин;</w:t>
            </w:r>
          </w:p>
          <w:p w:rsidR="00000086" w:rsidRPr="00A34A4A" w:rsidRDefault="004B579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- безпечну експлуатацію мереж </w:t>
            </w:r>
            <w:r w:rsidR="00000086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системи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централізованого водовідведення</w:t>
            </w:r>
            <w:r w:rsidR="00000086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;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- попередження забруднення водного об’єкту недостатньо очищеними стічними водами.</w:t>
            </w:r>
          </w:p>
        </w:tc>
        <w:tc>
          <w:tcPr>
            <w:tcW w:w="269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lastRenderedPageBreak/>
              <w:t xml:space="preserve">Реалізація </w:t>
            </w:r>
            <w:proofErr w:type="spellStart"/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про</w:t>
            </w:r>
            <w:r w:rsidR="004556C5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є</w:t>
            </w:r>
            <w:r w:rsidR="00310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кту</w:t>
            </w:r>
            <w:proofErr w:type="spellEnd"/>
            <w:r w:rsidR="00310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регуляторного акту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не потребує додаткових витрат з державного 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lastRenderedPageBreak/>
              <w:t>та/або місцевого бюджету.</w:t>
            </w:r>
          </w:p>
        </w:tc>
      </w:tr>
      <w:tr w:rsidR="00000086" w:rsidRPr="00A34A4A" w:rsidTr="00EE2732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lastRenderedPageBreak/>
              <w:t>Альтернатива 2</w:t>
            </w:r>
          </w:p>
        </w:tc>
        <w:tc>
          <w:tcPr>
            <w:tcW w:w="56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У разі неприйняття запропонованого нормативно-правового </w:t>
            </w:r>
            <w:proofErr w:type="spellStart"/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акта</w:t>
            </w:r>
            <w:proofErr w:type="spellEnd"/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, вигоди відсутні.</w:t>
            </w:r>
          </w:p>
        </w:tc>
        <w:tc>
          <w:tcPr>
            <w:tcW w:w="269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Витрати відсутні.</w:t>
            </w:r>
          </w:p>
        </w:tc>
      </w:tr>
    </w:tbl>
    <w:p w:rsidR="006F3A5A" w:rsidRPr="00A34A4A" w:rsidRDefault="006F3A5A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6"/>
          <w:szCs w:val="26"/>
          <w:lang w:val="uk-UA" w:eastAsia="ru-RU"/>
        </w:rPr>
      </w:pP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3.2.2 Оцінка впливу на сферу інтересів громадян.</w:t>
      </w:r>
    </w:p>
    <w:tbl>
      <w:tblPr>
        <w:tblW w:w="0" w:type="auto"/>
        <w:tblInd w:w="-8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6997"/>
        <w:gridCol w:w="1391"/>
      </w:tblGrid>
      <w:tr w:rsidR="006F3A5A" w:rsidRPr="00A34A4A" w:rsidTr="00E25358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Вид альтернативи</w:t>
            </w:r>
          </w:p>
        </w:tc>
        <w:tc>
          <w:tcPr>
            <w:tcW w:w="699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Вигоди</w:t>
            </w:r>
          </w:p>
        </w:tc>
        <w:tc>
          <w:tcPr>
            <w:tcW w:w="13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Витрати</w:t>
            </w:r>
          </w:p>
        </w:tc>
      </w:tr>
      <w:tr w:rsidR="006F3A5A" w:rsidRPr="00A34A4A" w:rsidTr="00E25358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699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3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3</w:t>
            </w:r>
          </w:p>
        </w:tc>
      </w:tr>
      <w:tr w:rsidR="006F3A5A" w:rsidRPr="00A34A4A" w:rsidTr="00E25358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Альтернатива 1</w:t>
            </w:r>
          </w:p>
        </w:tc>
        <w:tc>
          <w:tcPr>
            <w:tcW w:w="699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31001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Вигодою введення в дію запропонованого регуляторного акт</w:t>
            </w:r>
            <w:r w:rsidR="00310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у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є прозорість та якість для населення умов діяльності </w:t>
            </w:r>
            <w:r w:rsidR="001C6CEF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КП “</w:t>
            </w:r>
            <w:r w:rsidR="003D43FA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Калуська енергетична Компанія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“, покращення екологічного стану міста. Створює єдиний порядок та умови для приймання стічних вод підприємств до системи централізованого водовідведення, за яких не порушується робота комунальних мереж</w:t>
            </w:r>
            <w:r w:rsidR="00A0195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водовідведення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та споруд, забезпе</w:t>
            </w:r>
            <w:r w:rsidR="001C6CEF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чується безпека їх експлуатації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, забезпечує єдину процедуру проведення контролю за складом та властивостями стічних вод, що скидаються підприємствами до системи централізованого водовідведення, виконання вимірювань показників складу та властивостей проб стічних вод.</w:t>
            </w:r>
          </w:p>
        </w:tc>
        <w:tc>
          <w:tcPr>
            <w:tcW w:w="13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Витрати відсутні.</w:t>
            </w:r>
          </w:p>
        </w:tc>
      </w:tr>
    </w:tbl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 </w:t>
      </w:r>
    </w:p>
    <w:tbl>
      <w:tblPr>
        <w:tblW w:w="0" w:type="auto"/>
        <w:tblInd w:w="-8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510"/>
        <w:gridCol w:w="6878"/>
      </w:tblGrid>
      <w:tr w:rsidR="006F3A5A" w:rsidRPr="00A34A4A" w:rsidTr="00921689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3</w:t>
            </w:r>
          </w:p>
        </w:tc>
      </w:tr>
      <w:tr w:rsidR="006F3A5A" w:rsidRPr="00A34A4A" w:rsidTr="00921689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Альтернатива 2</w:t>
            </w:r>
          </w:p>
        </w:tc>
        <w:tc>
          <w:tcPr>
            <w:tcW w:w="15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Стан справ залишиться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без змін.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Вигоди відсутні.</w:t>
            </w:r>
          </w:p>
        </w:tc>
        <w:tc>
          <w:tcPr>
            <w:tcW w:w="68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1C6CEF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Витрати власних коштів КП “</w:t>
            </w:r>
            <w:r w:rsidR="003D43FA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Калуська енергетична Компанія</w:t>
            </w:r>
            <w:r w:rsidR="00000086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“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на відновлення </w:t>
            </w:r>
            <w:r w:rsidR="00000086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технічного стану зовнішніх мереж водовідведення через неконтрольований скид стічних вод споживачів зі значним перевищенням допустимих концентрацій забруднюючих речовин.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Втрати коштів </w:t>
            </w:r>
            <w:r w:rsidR="001C6CEF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КП “</w:t>
            </w:r>
            <w:r w:rsidR="003D43FA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Калуська енергетична Компанія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“, які можливо спрямувати на заходи щодо запобігання скидання понаднормативних забрудне</w:t>
            </w:r>
            <w:r w:rsidR="001C6CEF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н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ь до міської мережі водовідведення.</w:t>
            </w:r>
          </w:p>
        </w:tc>
      </w:tr>
    </w:tbl>
    <w:p w:rsidR="00000086" w:rsidRDefault="00000086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921689" w:rsidRDefault="00921689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921689" w:rsidRDefault="00921689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921689" w:rsidRPr="00A34A4A" w:rsidRDefault="00921689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tbl>
      <w:tblPr>
        <w:tblW w:w="0" w:type="auto"/>
        <w:tblInd w:w="-8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4224"/>
        <w:gridCol w:w="4164"/>
      </w:tblGrid>
      <w:tr w:rsidR="006F3A5A" w:rsidRPr="00A34A4A" w:rsidTr="00921689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Вид</w:t>
            </w:r>
          </w:p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альтернативи</w:t>
            </w:r>
          </w:p>
        </w:tc>
        <w:tc>
          <w:tcPr>
            <w:tcW w:w="422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Вигоди</w:t>
            </w:r>
          </w:p>
        </w:tc>
        <w:tc>
          <w:tcPr>
            <w:tcW w:w="416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Витрати</w:t>
            </w:r>
          </w:p>
        </w:tc>
      </w:tr>
      <w:tr w:rsidR="006F3A5A" w:rsidRPr="00CF35E5" w:rsidTr="00921689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Альтернатива 1</w:t>
            </w:r>
          </w:p>
        </w:tc>
        <w:tc>
          <w:tcPr>
            <w:tcW w:w="422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Вигодою введення в дію за</w:t>
            </w:r>
            <w:r w:rsidR="00235D1E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-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пропонованого регуляторного акт</w:t>
            </w:r>
            <w:r w:rsidR="00310016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у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є запобігання порушенням у роботі системи централізованого водо</w:t>
            </w:r>
            <w:r w:rsidR="00235D1E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-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відведення, підвищення 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lastRenderedPageBreak/>
              <w:t>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сектору.</w:t>
            </w:r>
          </w:p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Правилами регулюються відносини між </w:t>
            </w:r>
            <w:r w:rsidR="001C6CEF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КП “</w:t>
            </w:r>
            <w:r w:rsidR="003D43FA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Калуська енергетична Компанія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“ і споживачами, а також дотримання та виконання нормативів водовідведення по кількості і якості стічних вод, прийнятих від споживачів у систему.</w:t>
            </w:r>
          </w:p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Вигодою введення в дію за</w:t>
            </w:r>
            <w:r w:rsidR="004B5796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пропонованого регуляторного акту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є можливість користуватися врегульованим єдиним для всіх споживачів та прозорим механізмом контролю за якістю та кількістю стічних вод споживачів, що скидаються в </w:t>
            </w:r>
            <w:r w:rsidR="003D43FA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мережу водовідведення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</w:t>
            </w:r>
          </w:p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 </w:t>
            </w:r>
          </w:p>
        </w:tc>
        <w:tc>
          <w:tcPr>
            <w:tcW w:w="416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lastRenderedPageBreak/>
              <w:t xml:space="preserve">Витрати на встановлення локальної очисної споруди на випуску </w:t>
            </w:r>
            <w:r w:rsidR="00B41EE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водовідведення 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згідно вимог Правил приймання стічних вод до систем централізованого 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lastRenderedPageBreak/>
              <w:t>водовідведення, затверджених Наказом Міністерства регіонального розвитку, будівництва та житлово-комунального господ</w:t>
            </w:r>
            <w:r w:rsidR="004B5796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арства України 01.12.2017 № 316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</w:t>
            </w:r>
          </w:p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Витрати за скид стічних вод з понаднормативними забрудненнями згідно</w:t>
            </w:r>
            <w:r w:rsidR="00403115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з</w:t>
            </w:r>
          </w:p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„</w:t>
            </w:r>
            <w:hyperlink r:id="rId8" w:history="1">
              <w:r w:rsidR="00403115" w:rsidRPr="00A34A4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Порядком</w:t>
              </w:r>
              <w:r w:rsidRPr="00A34A4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 xml:space="preserve"> визначення розміру</w:t>
              </w:r>
            </w:hyperlink>
            <w:r w:rsidR="00403115" w:rsidRPr="00A34A4A">
              <w:rPr>
                <w:rStyle w:val="-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uk-UA"/>
              </w:rPr>
              <w:t xml:space="preserve"> </w:t>
            </w:r>
            <w:hyperlink r:id="rId9" w:history="1">
              <w:r w:rsidRPr="00A34A4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плати, що справляється за</w:t>
              </w:r>
            </w:hyperlink>
            <w:r w:rsidR="004B5796">
              <w:rPr>
                <w:rStyle w:val="-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uk-UA"/>
              </w:rPr>
              <w:t xml:space="preserve"> </w:t>
            </w:r>
            <w:hyperlink r:id="rId10" w:history="1">
              <w:r w:rsidRPr="00A34A4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понаднормативні скиди стічних вод до системи централізованого водо</w:t>
              </w:r>
              <w:r w:rsidR="00403115" w:rsidRPr="00A34A4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-</w:t>
              </w:r>
              <w:r w:rsidRPr="00A34A4A">
                <w:rPr>
                  <w:rStyle w:val="-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відведення</w:t>
              </w:r>
            </w:hyperlink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” та визначаються для кожного випадку окремо. Тобто відповідно до вищевикладеного порядку, розмір плати, що сплачуватимуть суб’єкти господарювання, за скид понад</w:t>
            </w:r>
            <w:r w:rsidR="00235D1E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-</w:t>
            </w: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нормативно забруднених стічних вод буде залежати від об’єму стічних вод та перевищення допустимих концентрацій забруднюючих речовин.</w:t>
            </w:r>
          </w:p>
        </w:tc>
      </w:tr>
      <w:tr w:rsidR="006F3A5A" w:rsidRPr="00A34A4A" w:rsidTr="00921689">
        <w:tc>
          <w:tcPr>
            <w:tcW w:w="17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lastRenderedPageBreak/>
              <w:t>Альтернатива 2</w:t>
            </w:r>
          </w:p>
        </w:tc>
        <w:tc>
          <w:tcPr>
            <w:tcW w:w="422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Вигоди відсутні.</w:t>
            </w:r>
          </w:p>
        </w:tc>
        <w:tc>
          <w:tcPr>
            <w:tcW w:w="416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a"/>
              <w:spacing w:before="28"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Витрати відсутні.</w:t>
            </w:r>
          </w:p>
        </w:tc>
      </w:tr>
    </w:tbl>
    <w:p w:rsidR="006F3A5A" w:rsidRPr="00A34A4A" w:rsidRDefault="005067B1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ab/>
      </w:r>
    </w:p>
    <w:p w:rsidR="00000086" w:rsidRPr="00A34A4A" w:rsidRDefault="006B3891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4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. Вибір найбільш оптимального альтернативного способу</w:t>
      </w:r>
      <w:r w:rsidR="005067B1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досягнення цілей</w:t>
      </w: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У ході визначення альтернативних способів досягнення встановлених цілей розглянуто наступні питання:</w:t>
      </w: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1) введення в дію за</w:t>
      </w:r>
      <w:r w:rsidR="004B5796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пропонованого регуляторного акту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;</w:t>
      </w: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2) залишення наявного стану справ без змін.</w:t>
      </w: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tbl>
      <w:tblPr>
        <w:tblW w:w="0" w:type="auto"/>
        <w:tblInd w:w="-230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2246"/>
        <w:gridCol w:w="5761"/>
      </w:tblGrid>
      <w:tr w:rsidR="006F3A5A" w:rsidRPr="00A34A4A" w:rsidTr="002602F9">
        <w:tc>
          <w:tcPr>
            <w:tcW w:w="213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4B5796">
            <w:pPr>
              <w:pStyle w:val="a9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Бал результативності (за 4-бальною </w:t>
            </w:r>
            <w:r w:rsidR="00403115"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с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истемою)</w:t>
            </w:r>
          </w:p>
        </w:tc>
        <w:tc>
          <w:tcPr>
            <w:tcW w:w="57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Коментарі щодо присвоєння відповідного балу</w:t>
            </w:r>
          </w:p>
        </w:tc>
      </w:tr>
      <w:tr w:rsidR="006F3A5A" w:rsidRPr="00A34A4A" w:rsidTr="002602F9">
        <w:tc>
          <w:tcPr>
            <w:tcW w:w="213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 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Альтернатива 1</w:t>
            </w:r>
          </w:p>
        </w:tc>
        <w:tc>
          <w:tcPr>
            <w:tcW w:w="2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7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Ц</w:t>
            </w:r>
            <w:r w:rsidR="004B579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ілі прийняття регуляторного акту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, які можуть бути досягнуті повною мірою.</w:t>
            </w:r>
            <w:r w:rsidR="004B579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Прийняття регуляторного акту 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дасть можливість:</w:t>
            </w:r>
          </w:p>
          <w:p w:rsidR="00235D1E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- забезпечення єдиного порядку проведення контролю за складом та властивостями стічних вод, що скидаються Споживачами до системи централізованого водовідведення;</w:t>
            </w:r>
          </w:p>
          <w:p w:rsidR="00874C04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- приведення у відповідність з діючим законодавством місцевих </w:t>
            </w:r>
            <w:r w:rsidR="001C7EF3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Правил приймання </w:t>
            </w:r>
            <w:r w:rsidR="001C7EF3" w:rsidRPr="00A34A4A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lastRenderedPageBreak/>
              <w:t>стічних вод до системи централізованого водовідведення Калуської міської територіальної громади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;</w:t>
            </w:r>
          </w:p>
          <w:p w:rsidR="00235D1E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- визначення умов приймання стічних вод Споживачів до системи централізованого водовідведення, за яких не порушується робота мереж</w:t>
            </w:r>
            <w:r w:rsidR="00B41E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водовідведення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 xml:space="preserve"> та споруд;</w:t>
            </w:r>
          </w:p>
          <w:p w:rsidR="00235D1E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- створення чітких умов для контролю у даній сфері діяльності;</w:t>
            </w:r>
          </w:p>
          <w:p w:rsidR="00235D1E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- забезпечення утримання території міста у належному санітарному стані;</w:t>
            </w:r>
          </w:p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- забезпечення охорони навколишнього природного середовища від забруднення скидами стічних вод Споживачів.</w:t>
            </w:r>
          </w:p>
        </w:tc>
      </w:tr>
      <w:tr w:rsidR="00000086" w:rsidRPr="00C25732" w:rsidTr="002602F9">
        <w:tc>
          <w:tcPr>
            <w:tcW w:w="213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lastRenderedPageBreak/>
              <w:t>Альтернатива 2</w:t>
            </w:r>
          </w:p>
        </w:tc>
        <w:tc>
          <w:tcPr>
            <w:tcW w:w="2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7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86" w:rsidRPr="00A34A4A" w:rsidRDefault="00000086" w:rsidP="002602F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Ц</w:t>
            </w:r>
            <w:r w:rsidR="00C2573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ілі прийняття регуляторного акту</w:t>
            </w:r>
            <w:r w:rsidRPr="00A34A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eastAsia="ru-RU"/>
              </w:rPr>
              <w:t>, які не можуть бути досягнуті, проблема існуватиме у зв’язку з тим, що на теперішній час в місті відсутній механізм контролю за скидом стічних вод Споживачів.</w:t>
            </w:r>
          </w:p>
        </w:tc>
      </w:tr>
    </w:tbl>
    <w:p w:rsidR="004324DB" w:rsidRPr="00A34A4A" w:rsidRDefault="004324DB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B33"/>
          <w:sz w:val="26"/>
          <w:szCs w:val="26"/>
          <w:lang w:val="uk-UA" w:eastAsia="ru-RU"/>
        </w:rPr>
      </w:pPr>
    </w:p>
    <w:p w:rsidR="00000086" w:rsidRPr="00A34A4A" w:rsidRDefault="00000086" w:rsidP="002602F9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  <w:t>V. Механізми та заходи, які забезпечать розв’язання визначеної проблеми</w:t>
      </w:r>
    </w:p>
    <w:p w:rsidR="00000086" w:rsidRPr="00A34A4A" w:rsidRDefault="005067B1" w:rsidP="006F3A5A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ab/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На підставі проведення аналізу регуляторного впливу найбільш оптимальним способом досягнення встановлення цілей є Альтернатива 1, тобто для розв’язання проблеми пропонується прийняти запропонований регуляторний акт.</w:t>
      </w:r>
    </w:p>
    <w:p w:rsidR="00000086" w:rsidRPr="00A34A4A" w:rsidRDefault="005067B1" w:rsidP="006F3A5A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ab/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Розв’язання проблеми, визначеної в розділі І даного аналізу регуляторного впливу, досягається шляхом затвердження </w:t>
      </w:r>
      <w:proofErr w:type="spellStart"/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про</w:t>
      </w:r>
      <w:r w:rsidR="001C6CE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є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кту</w:t>
      </w:r>
      <w:proofErr w:type="spellEnd"/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рішення </w:t>
      </w:r>
      <w:r w:rsidR="001C6CE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виконавчого комітету </w:t>
      </w:r>
      <w:r w:rsidR="001C7EF3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Калуської</w:t>
      </w:r>
      <w:r w:rsidR="001C6CE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міської ради „Про затвердження </w:t>
      </w:r>
      <w:r w:rsidR="001C7EF3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Правил приймання стічних вод до системи централізованого водовідведення Калуської</w:t>
      </w:r>
      <w:r w:rsidR="006F3A5A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міської територіальної громади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”.</w:t>
      </w:r>
    </w:p>
    <w:p w:rsidR="00000086" w:rsidRPr="00A34A4A" w:rsidRDefault="002A76DF" w:rsidP="006F3A5A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ab/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Впровадження цього регуляторного акт</w:t>
      </w:r>
      <w:r w:rsidR="00C25732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у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передбачає здійснення органом місцевого самоврядування певних організаційних заходів на виконання та у відповідності до вимог законодавства України про засади державної регуляторної політики у сфері господарської діяльності, а саме:</w:t>
      </w:r>
    </w:p>
    <w:p w:rsidR="00000086" w:rsidRPr="00A34A4A" w:rsidRDefault="00000086" w:rsidP="006F3A5A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- складання структурним підрозділом міської ради, який відповідає за впров</w:t>
      </w:r>
      <w:r w:rsidR="00C25732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адження цього регуляторного акту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, відповідного проекту рішення (внесення до плану діяльності з підготовки </w:t>
      </w:r>
      <w:proofErr w:type="spellStart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про</w:t>
      </w:r>
      <w:r w:rsidR="001C6CE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є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ктів</w:t>
      </w:r>
      <w:proofErr w:type="spellEnd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регуляторних актів) та аналізу регуляторного впливу (АРВ) до нього;</w:t>
      </w:r>
    </w:p>
    <w:p w:rsidR="00000086" w:rsidRPr="00A34A4A" w:rsidRDefault="00000086" w:rsidP="006F3A5A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- оприлюднення </w:t>
      </w:r>
      <w:proofErr w:type="spellStart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про</w:t>
      </w:r>
      <w:r w:rsidR="001C6CE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є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кту</w:t>
      </w:r>
      <w:proofErr w:type="spellEnd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регуляторного акт</w:t>
      </w:r>
      <w:r w:rsidR="00C25732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у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разом з АРВ з метою обговорення та одержання зауважень та пропозицій від фізичних та юридичних осіб;</w:t>
      </w:r>
    </w:p>
    <w:p w:rsidR="00000086" w:rsidRPr="00A34A4A" w:rsidRDefault="00000086" w:rsidP="006F3A5A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- внесення </w:t>
      </w:r>
      <w:proofErr w:type="spellStart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про</w:t>
      </w:r>
      <w:r w:rsidR="001C6CE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є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кту</w:t>
      </w:r>
      <w:proofErr w:type="spellEnd"/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регуляторного акт</w:t>
      </w:r>
      <w:r w:rsidR="00C25732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у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(за наявності разом зі зведеною таблицею зауважень та пропозицій до проекту регуляторного акт</w:t>
      </w:r>
      <w:r w:rsidR="00C25732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у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та АРВ отримані розробником протягом місяця з моменту оприлюднення) на розгляд </w:t>
      </w:r>
      <w:r w:rsidR="001C6CE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виконавчого комітету 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міської ради;</w:t>
      </w:r>
    </w:p>
    <w:p w:rsidR="00000086" w:rsidRPr="00A34A4A" w:rsidRDefault="00000086" w:rsidP="006F3A5A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- у разі прийняття регуляторного акт</w:t>
      </w:r>
      <w:r w:rsidR="00C25732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у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– оприлюднення у друкованих засобах масової інформації та на офіційному сайті </w:t>
      </w:r>
      <w:r w:rsidR="001C7EF3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Калуської</w:t>
      </w:r>
      <w:r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міської ради ;</w:t>
      </w:r>
    </w:p>
    <w:p w:rsidR="00000086" w:rsidRPr="00A34A4A" w:rsidRDefault="00000086" w:rsidP="006F3A5A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у разі прийняття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здійснення базового (повторного, періодичного) відстеження відповідно до вимог чинного законодавства.</w:t>
      </w:r>
    </w:p>
    <w:p w:rsidR="00000086" w:rsidRPr="00A34A4A" w:rsidRDefault="00E029F6" w:rsidP="006F3A5A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Враховуючи вищезазначене, ступінь ефективності обраного механізму та заходів досягнення цілей державного регулювання оцінено, як високий.</w:t>
      </w:r>
    </w:p>
    <w:p w:rsidR="001C7EF3" w:rsidRPr="00A34A4A" w:rsidRDefault="001C7EF3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000086" w:rsidRPr="00A34A4A" w:rsidRDefault="002A76DF" w:rsidP="006F3A5A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lastRenderedPageBreak/>
        <w:tab/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VI. Оцінка ви</w:t>
      </w:r>
      <w:r w:rsidR="00C25732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конання вимог регуляторного акту</w:t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r w:rsidR="00E029F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.</w:t>
      </w:r>
    </w:p>
    <w:p w:rsidR="00000086" w:rsidRPr="00A34A4A" w:rsidRDefault="002A76DF" w:rsidP="006F3A5A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Для впровадження вимог цього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не потрібно додаткових витрат з бюджету. Здійснення планових заходів з державного нагляду (контролю) вже віднесено до компетенції відповідних органів державної влади. Введення в дію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не потребує збільшення штату державних службовців та додаткового створення нових комунальних служб.</w:t>
      </w:r>
    </w:p>
    <w:p w:rsidR="006F3A5A" w:rsidRPr="00A34A4A" w:rsidRDefault="006F3A5A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b/>
          <w:color w:val="252B33"/>
          <w:sz w:val="26"/>
          <w:szCs w:val="26"/>
          <w:lang w:val="uk-UA"/>
        </w:rPr>
      </w:pPr>
    </w:p>
    <w:p w:rsidR="00000086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b/>
          <w:color w:val="252B33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VII. Обґрунтування запропонованого строку дії регуляторного акт</w:t>
      </w:r>
      <w:r w:rsidR="00C25732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у</w:t>
      </w:r>
    </w:p>
    <w:p w:rsidR="00000086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Обмеження строку дії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немає.</w:t>
      </w:r>
    </w:p>
    <w:p w:rsidR="00000086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Структура запропонованого </w:t>
      </w:r>
      <w:proofErr w:type="spellStart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про</w:t>
      </w:r>
      <w:r w:rsidR="002A76DF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є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кту</w:t>
      </w:r>
      <w:proofErr w:type="spellEnd"/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рішення розроблена з урахуванням можливості доповнення або внесення змін до нього у разі внесення змін до чинного законодавства України.</w:t>
      </w:r>
    </w:p>
    <w:p w:rsidR="0034075B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p w:rsidR="00000086" w:rsidRPr="00A34A4A" w:rsidRDefault="00000086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VIII. Визначення показників результативності</w:t>
      </w:r>
      <w:r w:rsidR="005067B1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</w:t>
      </w: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дії регуляторного акт</w:t>
      </w:r>
      <w:r w:rsidR="00C25732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у</w:t>
      </w:r>
    </w:p>
    <w:p w:rsidR="00000086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Кількісними показниками результативності дії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є:</w:t>
      </w:r>
    </w:p>
    <w:p w:rsidR="00000086" w:rsidRPr="00A34A4A" w:rsidRDefault="00000086" w:rsidP="0034075B">
      <w:pPr>
        <w:pStyle w:val="aa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кількість укладених договорів на приймання стічних вод до си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с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теми централізованого водовідведення м.</w:t>
      </w:r>
      <w:r w:rsidR="00235D1E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602F9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Калуш</w:t>
      </w:r>
      <w:r w:rsidR="00235D1E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між споживачами та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КП “</w:t>
      </w:r>
      <w:r w:rsidR="002602F9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Калуська енергетична Компанія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”</w:t>
      </w:r>
    </w:p>
    <w:p w:rsidR="00000086" w:rsidRPr="00A34A4A" w:rsidRDefault="00C25732" w:rsidP="0034075B">
      <w:pPr>
        <w:pStyle w:val="aa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uk-UA"/>
        </w:rPr>
        <w:t>- кількість обстеже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нь та здійснення лабораторного контролю щодо дотримання величин ДК забруднюючих речовин у стічних водах Споживачів</w:t>
      </w:r>
      <w:r w:rsidR="008B22E3">
        <w:rPr>
          <w:rFonts w:ascii="Times New Roman" w:hAnsi="Times New Roman" w:cs="Times New Roman"/>
          <w:color w:val="auto"/>
          <w:sz w:val="26"/>
          <w:szCs w:val="26"/>
          <w:lang w:val="uk-UA"/>
        </w:rPr>
        <w:t>,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B22E3">
        <w:rPr>
          <w:rFonts w:ascii="Times New Roman" w:hAnsi="Times New Roman" w:cs="Times New Roman"/>
          <w:color w:val="auto"/>
          <w:sz w:val="26"/>
          <w:szCs w:val="26"/>
          <w:lang w:val="uk-UA"/>
        </w:rPr>
        <w:t>які приєднані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B14406">
        <w:rPr>
          <w:rFonts w:ascii="Times New Roman" w:hAnsi="Times New Roman" w:cs="Times New Roman"/>
          <w:color w:val="auto"/>
          <w:sz w:val="26"/>
          <w:szCs w:val="26"/>
          <w:lang w:val="uk-UA"/>
        </w:rPr>
        <w:t>до системи централізованого водовідведення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м. </w:t>
      </w:r>
      <w:r w:rsidR="002602F9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Калуш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, відповідно до розділу 5</w:t>
      </w:r>
      <w:r w:rsidR="002602F9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Правил приймання стічних вод до системи централізованого водовідведення Калуської міської територіальної громади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</w:p>
    <w:p w:rsidR="00000086" w:rsidRPr="00A34A4A" w:rsidRDefault="00C25732" w:rsidP="0034075B">
      <w:pPr>
        <w:pStyle w:val="aa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uk-UA"/>
        </w:rPr>
        <w:t>- кількість виявлених поруше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нь в частині наднормативного та понадлімітно</w:t>
      </w:r>
      <w:r w:rsidR="0034075B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го скиду забруднюючих речовин у 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систему централізованого водовідведення </w:t>
      </w:r>
      <w:r w:rsidR="0034075B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м. Калуш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по яким пред'являються споживачам претензії та позови;</w:t>
      </w:r>
    </w:p>
    <w:p w:rsidR="00000086" w:rsidRPr="00A34A4A" w:rsidRDefault="00000086" w:rsidP="0034075B">
      <w:pPr>
        <w:pStyle w:val="aa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сума надходжень грошових коштів за перевищенн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я забруднюючих речовин в стічни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х водах підприємств, що скидаються до системи централізованого водовідведення.</w:t>
      </w:r>
    </w:p>
    <w:p w:rsidR="00000086" w:rsidRPr="00A34A4A" w:rsidRDefault="00000086" w:rsidP="0034075B">
      <w:pPr>
        <w:pStyle w:val="aa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Якісними показниками результативності дії регуляторного акт є:</w:t>
      </w:r>
    </w:p>
    <w:p w:rsidR="00000086" w:rsidRPr="00A34A4A" w:rsidRDefault="00000086" w:rsidP="0034075B">
      <w:pPr>
        <w:pStyle w:val="aa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забезпечення охорони навколишнього природного середовища від забруднення скидами стічних вод споживачів;</w:t>
      </w:r>
    </w:p>
    <w:p w:rsidR="00000086" w:rsidRPr="00A34A4A" w:rsidRDefault="00000086" w:rsidP="0034075B">
      <w:pPr>
        <w:pStyle w:val="aa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- рівень поінформованості суб’єктів господарювання з основними положеннями акт.</w:t>
      </w:r>
    </w:p>
    <w:p w:rsidR="0034075B" w:rsidRPr="00A34A4A" w:rsidRDefault="00CC0932" w:rsidP="002602F9">
      <w:pPr>
        <w:pStyle w:val="aa"/>
        <w:shd w:val="clear" w:color="auto" w:fill="FDFDFD"/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</w:p>
    <w:p w:rsidR="0034075B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IX. Визначення заходів, за допомогою яких здійснюватиметься відстеження результативності дії регуляторного акт</w:t>
      </w:r>
      <w:r w:rsidR="00C25732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у</w:t>
      </w:r>
      <w:r w:rsidRPr="00A34A4A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.</w:t>
      </w:r>
    </w:p>
    <w:p w:rsidR="00000086" w:rsidRPr="00A34A4A" w:rsidRDefault="002A76DF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У разі прийняття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послідовно здійснюватиметься відстеження його результативності згідно зі статтею 10 Закону України „Про засади державної регуляторної політики у сфері господарської діяльності” та Методикою відстеження результативності регуляторного акту, затвердженою постановою Кабінету Міністрів України від 11.03.2004 за № 308.</w:t>
      </w:r>
    </w:p>
    <w:p w:rsidR="00000086" w:rsidRPr="00A34A4A" w:rsidRDefault="002A76DF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Стосовно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="00000086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послідовно буде здійснено базове, повторне та періодичне відстеження його результативності за показниками, визначеними під час проведення аналізу регуляторного впливу до нього на підставі даних, наданих хіміко-вимірювальною лабораторією стічних вод.</w:t>
      </w:r>
    </w:p>
    <w:p w:rsidR="00805230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 w:eastAsia="uk-UA"/>
        </w:rPr>
        <w:tab/>
      </w:r>
      <w:r w:rsidR="00C50ECE" w:rsidRPr="00A34A4A">
        <w:rPr>
          <w:rFonts w:ascii="Times New Roman" w:hAnsi="Times New Roman" w:cs="Times New Roman"/>
          <w:color w:val="auto"/>
          <w:sz w:val="26"/>
          <w:szCs w:val="26"/>
          <w:lang w:val="uk-UA" w:eastAsia="uk-UA"/>
        </w:rPr>
        <w:t xml:space="preserve">Базове відстеження буде здійснено на </w:t>
      </w:r>
      <w:r w:rsidR="00805230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етапі підготовки проекту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="00805230"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до набрання ним чинності.</w:t>
      </w:r>
    </w:p>
    <w:p w:rsidR="00C50ECE" w:rsidRPr="00A34A4A" w:rsidRDefault="0034075B" w:rsidP="0034075B">
      <w:pPr>
        <w:shd w:val="clear" w:color="auto" w:fill="FFFFFF" w:themeFill="background1"/>
        <w:tabs>
          <w:tab w:val="left" w:pos="567"/>
        </w:tabs>
        <w:spacing w:line="240" w:lineRule="auto"/>
        <w:ind w:firstLine="0"/>
        <w:rPr>
          <w:sz w:val="26"/>
          <w:szCs w:val="26"/>
          <w:lang w:val="uk-UA" w:eastAsia="uk-UA"/>
        </w:rPr>
      </w:pPr>
      <w:r w:rsidRPr="00A34A4A">
        <w:rPr>
          <w:sz w:val="26"/>
          <w:szCs w:val="26"/>
          <w:lang w:val="uk-UA" w:eastAsia="uk-UA"/>
        </w:rPr>
        <w:lastRenderedPageBreak/>
        <w:tab/>
      </w:r>
      <w:r w:rsidR="00C50ECE" w:rsidRPr="00A34A4A">
        <w:rPr>
          <w:sz w:val="26"/>
          <w:szCs w:val="26"/>
          <w:lang w:val="uk-UA" w:eastAsia="uk-UA"/>
        </w:rPr>
        <w:t xml:space="preserve">Повторне відстеження </w:t>
      </w:r>
      <w:r w:rsidR="00C50ECE" w:rsidRPr="00A34A4A">
        <w:rPr>
          <w:sz w:val="26"/>
          <w:szCs w:val="26"/>
          <w:lang w:val="uk-UA"/>
        </w:rPr>
        <w:t>результативності регуляторного акт</w:t>
      </w:r>
      <w:r w:rsidR="00C25732">
        <w:rPr>
          <w:sz w:val="26"/>
          <w:szCs w:val="26"/>
          <w:lang w:val="uk-UA"/>
        </w:rPr>
        <w:t>у</w:t>
      </w:r>
      <w:r w:rsidR="00C50ECE" w:rsidRPr="00A34A4A">
        <w:rPr>
          <w:sz w:val="26"/>
          <w:szCs w:val="26"/>
          <w:lang w:val="uk-UA"/>
        </w:rPr>
        <w:t xml:space="preserve"> </w:t>
      </w:r>
      <w:r w:rsidR="00C50ECE" w:rsidRPr="00A34A4A">
        <w:rPr>
          <w:sz w:val="26"/>
          <w:szCs w:val="26"/>
          <w:lang w:val="uk-UA" w:eastAsia="uk-UA"/>
        </w:rPr>
        <w:t>буде проведено через рік з дня набрання ним чинності.</w:t>
      </w:r>
    </w:p>
    <w:p w:rsidR="00C50ECE" w:rsidRPr="00A34A4A" w:rsidRDefault="00C50ECE" w:rsidP="0034075B">
      <w:pPr>
        <w:pStyle w:val="aa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  <w:t>Періодичні відстеження будуть проводитися раз на кожні три роки, починаючи з дати закінчення заходів з повторного відстеження результативності даного регуляторного акт</w:t>
      </w:r>
      <w:r w:rsidR="00C25732">
        <w:rPr>
          <w:rFonts w:ascii="Times New Roman" w:hAnsi="Times New Roman" w:cs="Times New Roman"/>
          <w:color w:val="auto"/>
          <w:sz w:val="26"/>
          <w:szCs w:val="26"/>
          <w:lang w:val="uk-UA"/>
        </w:rPr>
        <w:t>у</w:t>
      </w: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</w:p>
    <w:p w:rsidR="00C50ECE" w:rsidRPr="00A34A4A" w:rsidRDefault="0034075B" w:rsidP="0034075B">
      <w:pPr>
        <w:shd w:val="clear" w:color="auto" w:fill="FFFFFF" w:themeFill="background1"/>
        <w:tabs>
          <w:tab w:val="left" w:pos="567"/>
        </w:tabs>
        <w:spacing w:line="240" w:lineRule="auto"/>
        <w:ind w:firstLine="0"/>
        <w:rPr>
          <w:sz w:val="26"/>
          <w:szCs w:val="26"/>
          <w:lang w:val="uk-UA" w:eastAsia="uk-UA"/>
        </w:rPr>
      </w:pPr>
      <w:r w:rsidRPr="00A34A4A">
        <w:rPr>
          <w:sz w:val="26"/>
          <w:szCs w:val="26"/>
          <w:lang w:val="uk-UA" w:eastAsia="uk-UA"/>
        </w:rPr>
        <w:tab/>
      </w:r>
      <w:r w:rsidR="00C50ECE" w:rsidRPr="00A34A4A">
        <w:rPr>
          <w:sz w:val="26"/>
          <w:szCs w:val="26"/>
          <w:lang w:val="uk-UA" w:eastAsia="uk-UA"/>
        </w:rPr>
        <w:t>Метод проведення відстеження результативності – статистичний.</w:t>
      </w:r>
    </w:p>
    <w:p w:rsidR="00C50ECE" w:rsidRPr="00A34A4A" w:rsidRDefault="0034075B" w:rsidP="0034075B">
      <w:pPr>
        <w:shd w:val="clear" w:color="auto" w:fill="FFFFFF" w:themeFill="background1"/>
        <w:tabs>
          <w:tab w:val="left" w:pos="567"/>
        </w:tabs>
        <w:ind w:firstLine="0"/>
        <w:rPr>
          <w:rFonts w:eastAsiaTheme="minorHAnsi"/>
          <w:sz w:val="26"/>
          <w:szCs w:val="26"/>
          <w:lang w:val="uk-UA" w:eastAsia="en-US"/>
        </w:rPr>
      </w:pPr>
      <w:r w:rsidRPr="00A34A4A">
        <w:rPr>
          <w:sz w:val="26"/>
          <w:szCs w:val="26"/>
          <w:lang w:val="uk-UA" w:eastAsia="uk-UA"/>
        </w:rPr>
        <w:tab/>
      </w:r>
      <w:r w:rsidR="00C50ECE" w:rsidRPr="00A34A4A">
        <w:rPr>
          <w:sz w:val="26"/>
          <w:szCs w:val="26"/>
          <w:lang w:val="uk-UA" w:eastAsia="uk-UA"/>
        </w:rPr>
        <w:t>Вид даних – статистичні дані.</w:t>
      </w:r>
    </w:p>
    <w:p w:rsidR="0034075B" w:rsidRPr="00DC5A74" w:rsidRDefault="002A76DF" w:rsidP="00A34A4A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ind w:left="284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252B33"/>
          <w:sz w:val="26"/>
          <w:szCs w:val="26"/>
          <w:lang w:val="uk-UA"/>
        </w:rPr>
        <w:tab/>
      </w:r>
      <w:r w:rsidR="00000086" w:rsidRPr="00DC5A74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Метод проведення відстеження результативності – </w:t>
      </w:r>
      <w:r w:rsidR="00566184" w:rsidRPr="00DC5A74">
        <w:rPr>
          <w:rFonts w:ascii="Times New Roman" w:hAnsi="Times New Roman" w:cs="Times New Roman"/>
          <w:color w:val="auto"/>
          <w:sz w:val="26"/>
          <w:szCs w:val="26"/>
          <w:lang w:val="uk-UA"/>
        </w:rPr>
        <w:t>аналіти</w:t>
      </w:r>
      <w:r w:rsidR="00000086" w:rsidRPr="00DC5A74">
        <w:rPr>
          <w:rFonts w:ascii="Times New Roman" w:hAnsi="Times New Roman" w:cs="Times New Roman"/>
          <w:color w:val="auto"/>
          <w:sz w:val="26"/>
          <w:szCs w:val="26"/>
          <w:lang w:val="uk-UA"/>
        </w:rPr>
        <w:t>чний. Відстеження результативності здійснюватиметься на підставі статистичних даних</w:t>
      </w:r>
      <w:r w:rsidR="00C50ECE" w:rsidRPr="00DC5A74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КП «</w:t>
      </w:r>
      <w:r w:rsidR="0013324C" w:rsidRPr="00DC5A74">
        <w:rPr>
          <w:rFonts w:ascii="Times New Roman" w:hAnsi="Times New Roman" w:cs="Times New Roman"/>
          <w:color w:val="auto"/>
          <w:sz w:val="26"/>
          <w:szCs w:val="26"/>
          <w:lang w:val="uk-UA"/>
        </w:rPr>
        <w:t>Калуська енергетична Компанія</w:t>
      </w:r>
      <w:r w:rsidR="00C50ECE" w:rsidRPr="00DC5A74">
        <w:rPr>
          <w:rFonts w:ascii="Times New Roman" w:hAnsi="Times New Roman" w:cs="Times New Roman"/>
          <w:color w:val="auto"/>
          <w:sz w:val="26"/>
          <w:szCs w:val="26"/>
          <w:lang w:val="uk-UA"/>
        </w:rPr>
        <w:t>»</w:t>
      </w:r>
      <w:r w:rsidR="00000086" w:rsidRPr="00DC5A74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</w:p>
    <w:p w:rsidR="00000086" w:rsidRPr="00A34A4A" w:rsidRDefault="0034075B" w:rsidP="0034075B">
      <w:pPr>
        <w:pStyle w:val="aa"/>
        <w:shd w:val="clear" w:color="auto" w:fill="FDFDFD"/>
        <w:tabs>
          <w:tab w:val="clear" w:pos="709"/>
          <w:tab w:val="left" w:pos="567"/>
        </w:tabs>
        <w:spacing w:before="28"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hAnsi="Times New Roman" w:cs="Times New Roman"/>
          <w:color w:val="auto"/>
          <w:sz w:val="26"/>
          <w:szCs w:val="26"/>
          <w:lang w:val="uk-UA"/>
        </w:rPr>
        <w:tab/>
      </w:r>
      <w:proofErr w:type="spellStart"/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Про</w:t>
      </w:r>
      <w:r w:rsidR="002F71DF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є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кт</w:t>
      </w:r>
      <w:proofErr w:type="spellEnd"/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регуляторного акт</w:t>
      </w:r>
      <w:r w:rsidR="00874C04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у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 буде розміщено у вільному доступі на офіційному веб-сайті  </w:t>
      </w:r>
      <w:r w:rsidR="0013324C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Калусько</w:t>
      </w:r>
      <w:r w:rsidR="00B77EF0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 xml:space="preserve">ї 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міської ради, що дозволить усім за</w:t>
      </w:r>
      <w:r w:rsidR="00D53DB9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цікавле</w:t>
      </w:r>
      <w:r w:rsidR="00000086" w:rsidRPr="00A34A4A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  <w:t>ним особам ознайомитися з ним та надати свої зауваження і пропозиції, що дозволить суб’єктам господарювання скоротити вартість адміністративного навантаження.</w:t>
      </w:r>
    </w:p>
    <w:p w:rsidR="00000086" w:rsidRPr="00A34A4A" w:rsidRDefault="00000086" w:rsidP="0034075B">
      <w:pPr>
        <w:pStyle w:val="a9"/>
        <w:shd w:val="clear" w:color="auto" w:fill="FDFDFD"/>
        <w:tabs>
          <w:tab w:val="clear" w:pos="709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A34A4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> </w:t>
      </w:r>
    </w:p>
    <w:p w:rsidR="00A734F1" w:rsidRDefault="00000086" w:rsidP="0034075B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</w:pPr>
      <w:r w:rsidRPr="00A734F1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  <w:t> </w:t>
      </w:r>
    </w:p>
    <w:p w:rsidR="004F4C67" w:rsidRDefault="004F4C67" w:rsidP="0034075B">
      <w:pPr>
        <w:pStyle w:val="a9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</w:pPr>
    </w:p>
    <w:p w:rsidR="00000086" w:rsidRPr="00A734F1" w:rsidRDefault="00A734F1" w:rsidP="0034075B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A734F1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ru-RU"/>
        </w:rPr>
        <w:t xml:space="preserve"> Директор КП «Калуська енергетична Компанія»                                      Петро ШЕВЧУК</w:t>
      </w:r>
    </w:p>
    <w:p w:rsidR="00000086" w:rsidRPr="00A734F1" w:rsidRDefault="00000086" w:rsidP="0034075B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A734F1">
        <w:rPr>
          <w:rFonts w:ascii="Times New Roman" w:eastAsia="Times New Roman" w:hAnsi="Times New Roman" w:cs="Times New Roman"/>
          <w:b/>
          <w:color w:val="252B33"/>
          <w:sz w:val="26"/>
          <w:szCs w:val="26"/>
          <w:lang w:eastAsia="ru-RU"/>
        </w:rPr>
        <w:t> </w:t>
      </w:r>
    </w:p>
    <w:p w:rsidR="00000086" w:rsidRPr="00FF1684" w:rsidRDefault="00000086" w:rsidP="0034075B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7EF0">
        <w:rPr>
          <w:rFonts w:ascii="Times New Roman" w:eastAsia="Times New Roman" w:hAnsi="Times New Roman" w:cs="Times New Roman"/>
          <w:color w:val="252B33"/>
          <w:sz w:val="26"/>
          <w:szCs w:val="26"/>
          <w:lang w:eastAsia="ru-RU"/>
        </w:rPr>
        <w:t> </w:t>
      </w:r>
    </w:p>
    <w:p w:rsidR="00000086" w:rsidRPr="00805230" w:rsidRDefault="00000086" w:rsidP="00B77EF0">
      <w:pPr>
        <w:pStyle w:val="a9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7EF0">
        <w:rPr>
          <w:rFonts w:ascii="Times New Roman" w:eastAsia="Times New Roman" w:hAnsi="Times New Roman" w:cs="Times New Roman"/>
          <w:color w:val="252B33"/>
          <w:sz w:val="21"/>
          <w:szCs w:val="21"/>
          <w:lang w:eastAsia="ru-RU"/>
        </w:rPr>
        <w:t> </w:t>
      </w:r>
    </w:p>
    <w:p w:rsidR="00000086" w:rsidRPr="00805230" w:rsidRDefault="00000086" w:rsidP="00B77EF0">
      <w:pPr>
        <w:pStyle w:val="a9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D4045" w:rsidRDefault="002D4045" w:rsidP="00B77EF0">
      <w:pPr>
        <w:spacing w:line="240" w:lineRule="auto"/>
        <w:rPr>
          <w:lang w:val="uk-UA"/>
        </w:rPr>
      </w:pPr>
    </w:p>
    <w:p w:rsidR="004C50FB" w:rsidRDefault="004C50FB" w:rsidP="00B77EF0">
      <w:pPr>
        <w:spacing w:line="240" w:lineRule="auto"/>
        <w:rPr>
          <w:lang w:val="uk-UA"/>
        </w:rPr>
      </w:pPr>
    </w:p>
    <w:p w:rsidR="004C50FB" w:rsidRDefault="004C50FB" w:rsidP="00B77EF0">
      <w:pPr>
        <w:spacing w:line="240" w:lineRule="auto"/>
        <w:rPr>
          <w:lang w:val="uk-UA"/>
        </w:rPr>
      </w:pPr>
    </w:p>
    <w:p w:rsidR="004C50FB" w:rsidRDefault="004C50FB" w:rsidP="00B77EF0">
      <w:pPr>
        <w:spacing w:line="240" w:lineRule="auto"/>
        <w:rPr>
          <w:lang w:val="uk-UA"/>
        </w:rPr>
      </w:pPr>
    </w:p>
    <w:p w:rsidR="004C50FB" w:rsidRDefault="004C50FB" w:rsidP="00B77EF0">
      <w:pPr>
        <w:spacing w:line="240" w:lineRule="auto"/>
        <w:rPr>
          <w:lang w:val="uk-UA"/>
        </w:rPr>
      </w:pPr>
    </w:p>
    <w:p w:rsidR="004C50FB" w:rsidRDefault="004C50FB" w:rsidP="00B77EF0">
      <w:pPr>
        <w:spacing w:line="240" w:lineRule="auto"/>
        <w:rPr>
          <w:lang w:val="uk-UA"/>
        </w:rPr>
      </w:pPr>
    </w:p>
    <w:p w:rsidR="004C50FB" w:rsidRDefault="004C50FB" w:rsidP="00B77EF0">
      <w:pPr>
        <w:spacing w:line="240" w:lineRule="auto"/>
        <w:rPr>
          <w:lang w:val="uk-UA"/>
        </w:rPr>
      </w:pPr>
    </w:p>
    <w:p w:rsidR="004C50FB" w:rsidRDefault="004C50FB" w:rsidP="00B77EF0">
      <w:pPr>
        <w:spacing w:line="240" w:lineRule="auto"/>
        <w:rPr>
          <w:lang w:val="uk-UA"/>
        </w:rPr>
      </w:pPr>
    </w:p>
    <w:p w:rsidR="004C50FB" w:rsidRPr="00805230" w:rsidRDefault="004C50FB" w:rsidP="00B77EF0">
      <w:pPr>
        <w:spacing w:line="240" w:lineRule="auto"/>
        <w:rPr>
          <w:lang w:val="uk-UA"/>
        </w:rPr>
      </w:pPr>
    </w:p>
    <w:sectPr w:rsidR="004C50FB" w:rsidRPr="00805230" w:rsidSect="00C25732">
      <w:footerReference w:type="default" r:id="rId11"/>
      <w:pgSz w:w="11906" w:h="16838"/>
      <w:pgMar w:top="851" w:right="680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1F" w:rsidRDefault="00144E1F">
      <w:r>
        <w:separator/>
      </w:r>
    </w:p>
  </w:endnote>
  <w:endnote w:type="continuationSeparator" w:id="0">
    <w:p w:rsidR="00144E1F" w:rsidRDefault="0014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4A" w:rsidRDefault="00AD7D4A" w:rsidP="00AD19FA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1F" w:rsidRDefault="00144E1F">
      <w:r>
        <w:separator/>
      </w:r>
    </w:p>
  </w:footnote>
  <w:footnote w:type="continuationSeparator" w:id="0">
    <w:p w:rsidR="00144E1F" w:rsidRDefault="0014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343"/>
    <w:multiLevelType w:val="hybridMultilevel"/>
    <w:tmpl w:val="C71E7FB2"/>
    <w:lvl w:ilvl="0" w:tplc="F3689A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52B33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E0E"/>
    <w:multiLevelType w:val="multilevel"/>
    <w:tmpl w:val="6234F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86A23E4"/>
    <w:multiLevelType w:val="hybridMultilevel"/>
    <w:tmpl w:val="3F2CE2E4"/>
    <w:lvl w:ilvl="0" w:tplc="B2E0B6AA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7398693C"/>
    <w:multiLevelType w:val="hybridMultilevel"/>
    <w:tmpl w:val="EE48E8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CC"/>
    <w:rsid w:val="00000086"/>
    <w:rsid w:val="00013389"/>
    <w:rsid w:val="0001461B"/>
    <w:rsid w:val="000156BA"/>
    <w:rsid w:val="00017418"/>
    <w:rsid w:val="00022075"/>
    <w:rsid w:val="00023AAE"/>
    <w:rsid w:val="0002543D"/>
    <w:rsid w:val="000372CF"/>
    <w:rsid w:val="000511F6"/>
    <w:rsid w:val="00054B86"/>
    <w:rsid w:val="00055413"/>
    <w:rsid w:val="0005666D"/>
    <w:rsid w:val="00061A3D"/>
    <w:rsid w:val="000723CB"/>
    <w:rsid w:val="00073371"/>
    <w:rsid w:val="000734BD"/>
    <w:rsid w:val="00077699"/>
    <w:rsid w:val="00080187"/>
    <w:rsid w:val="0008359F"/>
    <w:rsid w:val="0009589A"/>
    <w:rsid w:val="000A7C85"/>
    <w:rsid w:val="000B459B"/>
    <w:rsid w:val="000B4E85"/>
    <w:rsid w:val="000B7FB3"/>
    <w:rsid w:val="000C6F9E"/>
    <w:rsid w:val="000E6189"/>
    <w:rsid w:val="000F0A78"/>
    <w:rsid w:val="000F56B3"/>
    <w:rsid w:val="00104847"/>
    <w:rsid w:val="00106953"/>
    <w:rsid w:val="00107E37"/>
    <w:rsid w:val="00111368"/>
    <w:rsid w:val="00133144"/>
    <w:rsid w:val="0013324C"/>
    <w:rsid w:val="001403A7"/>
    <w:rsid w:val="00142FDC"/>
    <w:rsid w:val="00144E1F"/>
    <w:rsid w:val="00153116"/>
    <w:rsid w:val="00174EAB"/>
    <w:rsid w:val="00185742"/>
    <w:rsid w:val="0019429A"/>
    <w:rsid w:val="00194440"/>
    <w:rsid w:val="001A31A4"/>
    <w:rsid w:val="001A536A"/>
    <w:rsid w:val="001B7595"/>
    <w:rsid w:val="001C0FF3"/>
    <w:rsid w:val="001C23E9"/>
    <w:rsid w:val="001C6CEF"/>
    <w:rsid w:val="001C7EF3"/>
    <w:rsid w:val="001D4610"/>
    <w:rsid w:val="001D4966"/>
    <w:rsid w:val="001E1E8B"/>
    <w:rsid w:val="001F57EA"/>
    <w:rsid w:val="0020242C"/>
    <w:rsid w:val="00215F1E"/>
    <w:rsid w:val="002216FD"/>
    <w:rsid w:val="00226452"/>
    <w:rsid w:val="00235D1E"/>
    <w:rsid w:val="00235FD7"/>
    <w:rsid w:val="00244564"/>
    <w:rsid w:val="00244CB9"/>
    <w:rsid w:val="00250C03"/>
    <w:rsid w:val="00253D78"/>
    <w:rsid w:val="00257B62"/>
    <w:rsid w:val="002602F9"/>
    <w:rsid w:val="00261742"/>
    <w:rsid w:val="00261854"/>
    <w:rsid w:val="00263275"/>
    <w:rsid w:val="00274B03"/>
    <w:rsid w:val="00277554"/>
    <w:rsid w:val="0028098B"/>
    <w:rsid w:val="00281C38"/>
    <w:rsid w:val="00284F55"/>
    <w:rsid w:val="002A6186"/>
    <w:rsid w:val="002A76DF"/>
    <w:rsid w:val="002B37AB"/>
    <w:rsid w:val="002B5B89"/>
    <w:rsid w:val="002B7793"/>
    <w:rsid w:val="002C4424"/>
    <w:rsid w:val="002D1FA2"/>
    <w:rsid w:val="002D2E99"/>
    <w:rsid w:val="002D3F04"/>
    <w:rsid w:val="002D4045"/>
    <w:rsid w:val="002E7CBC"/>
    <w:rsid w:val="002F1121"/>
    <w:rsid w:val="002F16F4"/>
    <w:rsid w:val="002F1D8B"/>
    <w:rsid w:val="002F71DF"/>
    <w:rsid w:val="00304D27"/>
    <w:rsid w:val="00305702"/>
    <w:rsid w:val="00310016"/>
    <w:rsid w:val="00327EC9"/>
    <w:rsid w:val="003403DC"/>
    <w:rsid w:val="0034075B"/>
    <w:rsid w:val="0034289F"/>
    <w:rsid w:val="00345577"/>
    <w:rsid w:val="00347AF7"/>
    <w:rsid w:val="00355A7C"/>
    <w:rsid w:val="00364096"/>
    <w:rsid w:val="0036669C"/>
    <w:rsid w:val="003671F9"/>
    <w:rsid w:val="00371809"/>
    <w:rsid w:val="003723F1"/>
    <w:rsid w:val="00374B50"/>
    <w:rsid w:val="00377FBA"/>
    <w:rsid w:val="0038142D"/>
    <w:rsid w:val="003831BF"/>
    <w:rsid w:val="00391200"/>
    <w:rsid w:val="003979C4"/>
    <w:rsid w:val="003B0C22"/>
    <w:rsid w:val="003B23F6"/>
    <w:rsid w:val="003B710F"/>
    <w:rsid w:val="003B7CC9"/>
    <w:rsid w:val="003C4DEE"/>
    <w:rsid w:val="003D1F4D"/>
    <w:rsid w:val="003D43FA"/>
    <w:rsid w:val="003E0C01"/>
    <w:rsid w:val="003E3E7C"/>
    <w:rsid w:val="003E5028"/>
    <w:rsid w:val="00403115"/>
    <w:rsid w:val="0040470D"/>
    <w:rsid w:val="00407D74"/>
    <w:rsid w:val="0041128D"/>
    <w:rsid w:val="00412D34"/>
    <w:rsid w:val="00414334"/>
    <w:rsid w:val="004203ED"/>
    <w:rsid w:val="00420FBA"/>
    <w:rsid w:val="00425D5B"/>
    <w:rsid w:val="004324DB"/>
    <w:rsid w:val="00441259"/>
    <w:rsid w:val="00451D98"/>
    <w:rsid w:val="00453BAF"/>
    <w:rsid w:val="004556C5"/>
    <w:rsid w:val="00457CA0"/>
    <w:rsid w:val="004678C4"/>
    <w:rsid w:val="004903D5"/>
    <w:rsid w:val="00493970"/>
    <w:rsid w:val="004969AC"/>
    <w:rsid w:val="00497C64"/>
    <w:rsid w:val="004A46A2"/>
    <w:rsid w:val="004B0BF9"/>
    <w:rsid w:val="004B15FC"/>
    <w:rsid w:val="004B3C99"/>
    <w:rsid w:val="004B46FF"/>
    <w:rsid w:val="004B5796"/>
    <w:rsid w:val="004C3FBB"/>
    <w:rsid w:val="004C50FB"/>
    <w:rsid w:val="004C6D9C"/>
    <w:rsid w:val="004C6F11"/>
    <w:rsid w:val="004C715C"/>
    <w:rsid w:val="004E4A16"/>
    <w:rsid w:val="004F21AE"/>
    <w:rsid w:val="004F356A"/>
    <w:rsid w:val="004F3711"/>
    <w:rsid w:val="004F4C67"/>
    <w:rsid w:val="005003CD"/>
    <w:rsid w:val="005029AA"/>
    <w:rsid w:val="005067B1"/>
    <w:rsid w:val="0051329C"/>
    <w:rsid w:val="00517EAD"/>
    <w:rsid w:val="00527541"/>
    <w:rsid w:val="005344E1"/>
    <w:rsid w:val="00540C34"/>
    <w:rsid w:val="0054157E"/>
    <w:rsid w:val="005525A3"/>
    <w:rsid w:val="00565D05"/>
    <w:rsid w:val="00566184"/>
    <w:rsid w:val="00576EE9"/>
    <w:rsid w:val="005775FD"/>
    <w:rsid w:val="005864E9"/>
    <w:rsid w:val="0058785B"/>
    <w:rsid w:val="005A0D25"/>
    <w:rsid w:val="005A3545"/>
    <w:rsid w:val="005A5A31"/>
    <w:rsid w:val="005B0D2E"/>
    <w:rsid w:val="005B6237"/>
    <w:rsid w:val="005C0FBC"/>
    <w:rsid w:val="005C129F"/>
    <w:rsid w:val="005C2462"/>
    <w:rsid w:val="005C2630"/>
    <w:rsid w:val="005C434F"/>
    <w:rsid w:val="005C471F"/>
    <w:rsid w:val="005C5C3B"/>
    <w:rsid w:val="005C73B8"/>
    <w:rsid w:val="005D1384"/>
    <w:rsid w:val="005E103C"/>
    <w:rsid w:val="005E353D"/>
    <w:rsid w:val="005E4DD6"/>
    <w:rsid w:val="005E4E4F"/>
    <w:rsid w:val="005E7C75"/>
    <w:rsid w:val="005F0818"/>
    <w:rsid w:val="005F1B1D"/>
    <w:rsid w:val="005F4C18"/>
    <w:rsid w:val="005F5784"/>
    <w:rsid w:val="00600936"/>
    <w:rsid w:val="00601A38"/>
    <w:rsid w:val="00610363"/>
    <w:rsid w:val="00614299"/>
    <w:rsid w:val="0062137C"/>
    <w:rsid w:val="00641107"/>
    <w:rsid w:val="00643368"/>
    <w:rsid w:val="00647337"/>
    <w:rsid w:val="00652DE0"/>
    <w:rsid w:val="006621DA"/>
    <w:rsid w:val="006661D9"/>
    <w:rsid w:val="0067181B"/>
    <w:rsid w:val="00672A40"/>
    <w:rsid w:val="00683024"/>
    <w:rsid w:val="0068493A"/>
    <w:rsid w:val="006849DB"/>
    <w:rsid w:val="006938CA"/>
    <w:rsid w:val="006940B2"/>
    <w:rsid w:val="00694CA5"/>
    <w:rsid w:val="00696591"/>
    <w:rsid w:val="006A42A0"/>
    <w:rsid w:val="006A5C3B"/>
    <w:rsid w:val="006B3748"/>
    <w:rsid w:val="006B3891"/>
    <w:rsid w:val="006B48ED"/>
    <w:rsid w:val="006B5060"/>
    <w:rsid w:val="006B626A"/>
    <w:rsid w:val="006C1702"/>
    <w:rsid w:val="006C3095"/>
    <w:rsid w:val="006D0DF3"/>
    <w:rsid w:val="006D1ED8"/>
    <w:rsid w:val="006E3F1A"/>
    <w:rsid w:val="006E43D7"/>
    <w:rsid w:val="006F005F"/>
    <w:rsid w:val="006F3A5A"/>
    <w:rsid w:val="006F57F1"/>
    <w:rsid w:val="00703BD9"/>
    <w:rsid w:val="0071020D"/>
    <w:rsid w:val="00716EE9"/>
    <w:rsid w:val="00721B57"/>
    <w:rsid w:val="0072678E"/>
    <w:rsid w:val="00730677"/>
    <w:rsid w:val="00732095"/>
    <w:rsid w:val="00733BF4"/>
    <w:rsid w:val="00736103"/>
    <w:rsid w:val="00740E3B"/>
    <w:rsid w:val="00742933"/>
    <w:rsid w:val="007462D2"/>
    <w:rsid w:val="0075156A"/>
    <w:rsid w:val="00751680"/>
    <w:rsid w:val="0075291B"/>
    <w:rsid w:val="00756DE9"/>
    <w:rsid w:val="00770A25"/>
    <w:rsid w:val="00771D56"/>
    <w:rsid w:val="007720A1"/>
    <w:rsid w:val="00783D36"/>
    <w:rsid w:val="0078749C"/>
    <w:rsid w:val="00790412"/>
    <w:rsid w:val="007A4CB2"/>
    <w:rsid w:val="007C1545"/>
    <w:rsid w:val="007C1999"/>
    <w:rsid w:val="007C1D7E"/>
    <w:rsid w:val="007C6D7B"/>
    <w:rsid w:val="007C7EF0"/>
    <w:rsid w:val="007D2BF9"/>
    <w:rsid w:val="007D2C15"/>
    <w:rsid w:val="007D3570"/>
    <w:rsid w:val="007D4550"/>
    <w:rsid w:val="007D47AD"/>
    <w:rsid w:val="007D607B"/>
    <w:rsid w:val="007E02F6"/>
    <w:rsid w:val="007E072C"/>
    <w:rsid w:val="007E3883"/>
    <w:rsid w:val="007E3F7C"/>
    <w:rsid w:val="007E660E"/>
    <w:rsid w:val="007F054D"/>
    <w:rsid w:val="007F2DC4"/>
    <w:rsid w:val="007F5A09"/>
    <w:rsid w:val="00800896"/>
    <w:rsid w:val="0080297B"/>
    <w:rsid w:val="00805230"/>
    <w:rsid w:val="00805EC0"/>
    <w:rsid w:val="00807171"/>
    <w:rsid w:val="00811008"/>
    <w:rsid w:val="008117CD"/>
    <w:rsid w:val="00817951"/>
    <w:rsid w:val="00820789"/>
    <w:rsid w:val="00822054"/>
    <w:rsid w:val="00823B11"/>
    <w:rsid w:val="00823F3B"/>
    <w:rsid w:val="00825684"/>
    <w:rsid w:val="00826313"/>
    <w:rsid w:val="00832C65"/>
    <w:rsid w:val="00835EA6"/>
    <w:rsid w:val="00842997"/>
    <w:rsid w:val="0085528E"/>
    <w:rsid w:val="00856020"/>
    <w:rsid w:val="00861637"/>
    <w:rsid w:val="00862C61"/>
    <w:rsid w:val="00862E30"/>
    <w:rsid w:val="00873891"/>
    <w:rsid w:val="00874C04"/>
    <w:rsid w:val="008767D8"/>
    <w:rsid w:val="00892AE1"/>
    <w:rsid w:val="0089324C"/>
    <w:rsid w:val="008935FA"/>
    <w:rsid w:val="00893FB6"/>
    <w:rsid w:val="00896053"/>
    <w:rsid w:val="00896F61"/>
    <w:rsid w:val="008A005B"/>
    <w:rsid w:val="008A17E3"/>
    <w:rsid w:val="008A3534"/>
    <w:rsid w:val="008B22E3"/>
    <w:rsid w:val="008B4191"/>
    <w:rsid w:val="008B540C"/>
    <w:rsid w:val="008C7D96"/>
    <w:rsid w:val="008D5FDE"/>
    <w:rsid w:val="008E2D27"/>
    <w:rsid w:val="008E3154"/>
    <w:rsid w:val="008F0E37"/>
    <w:rsid w:val="008F532D"/>
    <w:rsid w:val="008F5DA2"/>
    <w:rsid w:val="009043A5"/>
    <w:rsid w:val="00912AD0"/>
    <w:rsid w:val="0091379A"/>
    <w:rsid w:val="00920670"/>
    <w:rsid w:val="00921689"/>
    <w:rsid w:val="009225AE"/>
    <w:rsid w:val="00930A24"/>
    <w:rsid w:val="00934EDA"/>
    <w:rsid w:val="00940352"/>
    <w:rsid w:val="009411F9"/>
    <w:rsid w:val="00942EB3"/>
    <w:rsid w:val="00942FFA"/>
    <w:rsid w:val="009432F9"/>
    <w:rsid w:val="00945B6E"/>
    <w:rsid w:val="0095031F"/>
    <w:rsid w:val="00952CA9"/>
    <w:rsid w:val="00957FDC"/>
    <w:rsid w:val="0096308F"/>
    <w:rsid w:val="0096725C"/>
    <w:rsid w:val="00970B73"/>
    <w:rsid w:val="00972320"/>
    <w:rsid w:val="0097531B"/>
    <w:rsid w:val="00977AB8"/>
    <w:rsid w:val="00980D5E"/>
    <w:rsid w:val="00981452"/>
    <w:rsid w:val="009870EE"/>
    <w:rsid w:val="009A38BE"/>
    <w:rsid w:val="009B30DB"/>
    <w:rsid w:val="009B77CC"/>
    <w:rsid w:val="009D31A0"/>
    <w:rsid w:val="009E0C04"/>
    <w:rsid w:val="009E1D69"/>
    <w:rsid w:val="009E3688"/>
    <w:rsid w:val="009E7A1B"/>
    <w:rsid w:val="009F2F90"/>
    <w:rsid w:val="009F6A19"/>
    <w:rsid w:val="009F7D7B"/>
    <w:rsid w:val="00A01950"/>
    <w:rsid w:val="00A026C4"/>
    <w:rsid w:val="00A04CCA"/>
    <w:rsid w:val="00A04FC0"/>
    <w:rsid w:val="00A12D81"/>
    <w:rsid w:val="00A1636B"/>
    <w:rsid w:val="00A2476F"/>
    <w:rsid w:val="00A308B8"/>
    <w:rsid w:val="00A33D38"/>
    <w:rsid w:val="00A34A4A"/>
    <w:rsid w:val="00A373E8"/>
    <w:rsid w:val="00A42704"/>
    <w:rsid w:val="00A45983"/>
    <w:rsid w:val="00A47C83"/>
    <w:rsid w:val="00A52F5C"/>
    <w:rsid w:val="00A734F1"/>
    <w:rsid w:val="00A7577F"/>
    <w:rsid w:val="00A81EFC"/>
    <w:rsid w:val="00A83656"/>
    <w:rsid w:val="00A9145D"/>
    <w:rsid w:val="00A92635"/>
    <w:rsid w:val="00A9285D"/>
    <w:rsid w:val="00AD0E1E"/>
    <w:rsid w:val="00AD19FA"/>
    <w:rsid w:val="00AD2788"/>
    <w:rsid w:val="00AD75FE"/>
    <w:rsid w:val="00AD7D4A"/>
    <w:rsid w:val="00AE18C0"/>
    <w:rsid w:val="00AE4B99"/>
    <w:rsid w:val="00AF0818"/>
    <w:rsid w:val="00B03D23"/>
    <w:rsid w:val="00B05FC5"/>
    <w:rsid w:val="00B07439"/>
    <w:rsid w:val="00B10256"/>
    <w:rsid w:val="00B10A08"/>
    <w:rsid w:val="00B125C9"/>
    <w:rsid w:val="00B14406"/>
    <w:rsid w:val="00B17FF1"/>
    <w:rsid w:val="00B23837"/>
    <w:rsid w:val="00B2789A"/>
    <w:rsid w:val="00B319FA"/>
    <w:rsid w:val="00B329F2"/>
    <w:rsid w:val="00B41EE9"/>
    <w:rsid w:val="00B46EE6"/>
    <w:rsid w:val="00B5074E"/>
    <w:rsid w:val="00B5574E"/>
    <w:rsid w:val="00B57068"/>
    <w:rsid w:val="00B60483"/>
    <w:rsid w:val="00B6437C"/>
    <w:rsid w:val="00B76CA5"/>
    <w:rsid w:val="00B77EF0"/>
    <w:rsid w:val="00B84FEC"/>
    <w:rsid w:val="00B86B4A"/>
    <w:rsid w:val="00B87151"/>
    <w:rsid w:val="00B93268"/>
    <w:rsid w:val="00BA12A7"/>
    <w:rsid w:val="00BA5D11"/>
    <w:rsid w:val="00BB207D"/>
    <w:rsid w:val="00BB39F2"/>
    <w:rsid w:val="00BC50FC"/>
    <w:rsid w:val="00BE5E91"/>
    <w:rsid w:val="00BF17CF"/>
    <w:rsid w:val="00BF4A67"/>
    <w:rsid w:val="00BF7174"/>
    <w:rsid w:val="00C0157D"/>
    <w:rsid w:val="00C021B7"/>
    <w:rsid w:val="00C17CCF"/>
    <w:rsid w:val="00C21D63"/>
    <w:rsid w:val="00C22027"/>
    <w:rsid w:val="00C23FB0"/>
    <w:rsid w:val="00C25732"/>
    <w:rsid w:val="00C27F1A"/>
    <w:rsid w:val="00C3038E"/>
    <w:rsid w:val="00C31EF0"/>
    <w:rsid w:val="00C3583B"/>
    <w:rsid w:val="00C45F29"/>
    <w:rsid w:val="00C50ECE"/>
    <w:rsid w:val="00C51E04"/>
    <w:rsid w:val="00C5336F"/>
    <w:rsid w:val="00C5426C"/>
    <w:rsid w:val="00C546E6"/>
    <w:rsid w:val="00C65F66"/>
    <w:rsid w:val="00C66100"/>
    <w:rsid w:val="00C6665C"/>
    <w:rsid w:val="00C66CA5"/>
    <w:rsid w:val="00C730E7"/>
    <w:rsid w:val="00C73917"/>
    <w:rsid w:val="00C81E09"/>
    <w:rsid w:val="00C8536C"/>
    <w:rsid w:val="00C86C6A"/>
    <w:rsid w:val="00C9493C"/>
    <w:rsid w:val="00C971DC"/>
    <w:rsid w:val="00CA29B4"/>
    <w:rsid w:val="00CA77E8"/>
    <w:rsid w:val="00CB2002"/>
    <w:rsid w:val="00CC0932"/>
    <w:rsid w:val="00CC3DFF"/>
    <w:rsid w:val="00CD091D"/>
    <w:rsid w:val="00CD0D3D"/>
    <w:rsid w:val="00CD0E4C"/>
    <w:rsid w:val="00CD6BCF"/>
    <w:rsid w:val="00CE02E3"/>
    <w:rsid w:val="00CE31F5"/>
    <w:rsid w:val="00CE3A85"/>
    <w:rsid w:val="00CF35E5"/>
    <w:rsid w:val="00CF5008"/>
    <w:rsid w:val="00CF6B77"/>
    <w:rsid w:val="00CF6D5D"/>
    <w:rsid w:val="00D04A59"/>
    <w:rsid w:val="00D06E43"/>
    <w:rsid w:val="00D0780E"/>
    <w:rsid w:val="00D10ADD"/>
    <w:rsid w:val="00D170FB"/>
    <w:rsid w:val="00D21BC8"/>
    <w:rsid w:val="00D258E0"/>
    <w:rsid w:val="00D32D3D"/>
    <w:rsid w:val="00D34DAA"/>
    <w:rsid w:val="00D35C88"/>
    <w:rsid w:val="00D44868"/>
    <w:rsid w:val="00D51F5E"/>
    <w:rsid w:val="00D5290E"/>
    <w:rsid w:val="00D52B39"/>
    <w:rsid w:val="00D53DB9"/>
    <w:rsid w:val="00D53E51"/>
    <w:rsid w:val="00D54595"/>
    <w:rsid w:val="00D5544D"/>
    <w:rsid w:val="00D56E45"/>
    <w:rsid w:val="00D60D36"/>
    <w:rsid w:val="00D6114A"/>
    <w:rsid w:val="00D62A5F"/>
    <w:rsid w:val="00D676AD"/>
    <w:rsid w:val="00D70FE6"/>
    <w:rsid w:val="00D729A9"/>
    <w:rsid w:val="00D73B09"/>
    <w:rsid w:val="00D74193"/>
    <w:rsid w:val="00D74759"/>
    <w:rsid w:val="00D8203A"/>
    <w:rsid w:val="00D856B6"/>
    <w:rsid w:val="00D97FAD"/>
    <w:rsid w:val="00DA0302"/>
    <w:rsid w:val="00DA1883"/>
    <w:rsid w:val="00DA57F9"/>
    <w:rsid w:val="00DB0AD8"/>
    <w:rsid w:val="00DB0B06"/>
    <w:rsid w:val="00DC2BEE"/>
    <w:rsid w:val="00DC3AAB"/>
    <w:rsid w:val="00DC5A74"/>
    <w:rsid w:val="00DC7CA2"/>
    <w:rsid w:val="00DE244E"/>
    <w:rsid w:val="00DF0005"/>
    <w:rsid w:val="00DF26DA"/>
    <w:rsid w:val="00DF2EFB"/>
    <w:rsid w:val="00E02359"/>
    <w:rsid w:val="00E029F6"/>
    <w:rsid w:val="00E06859"/>
    <w:rsid w:val="00E12476"/>
    <w:rsid w:val="00E12524"/>
    <w:rsid w:val="00E12E1B"/>
    <w:rsid w:val="00E15425"/>
    <w:rsid w:val="00E21727"/>
    <w:rsid w:val="00E22F53"/>
    <w:rsid w:val="00E25358"/>
    <w:rsid w:val="00E3169C"/>
    <w:rsid w:val="00E31711"/>
    <w:rsid w:val="00E33C50"/>
    <w:rsid w:val="00E34CE8"/>
    <w:rsid w:val="00E36863"/>
    <w:rsid w:val="00E42192"/>
    <w:rsid w:val="00E55F45"/>
    <w:rsid w:val="00E60639"/>
    <w:rsid w:val="00E62799"/>
    <w:rsid w:val="00E63F2A"/>
    <w:rsid w:val="00E643BB"/>
    <w:rsid w:val="00E7787D"/>
    <w:rsid w:val="00E77EF0"/>
    <w:rsid w:val="00E8137C"/>
    <w:rsid w:val="00E86087"/>
    <w:rsid w:val="00E90A06"/>
    <w:rsid w:val="00E9332B"/>
    <w:rsid w:val="00E94541"/>
    <w:rsid w:val="00E94A19"/>
    <w:rsid w:val="00EA1501"/>
    <w:rsid w:val="00EA1B4D"/>
    <w:rsid w:val="00EA1CE5"/>
    <w:rsid w:val="00EB02B3"/>
    <w:rsid w:val="00EB1765"/>
    <w:rsid w:val="00EB2A81"/>
    <w:rsid w:val="00EB4D82"/>
    <w:rsid w:val="00EC6D7E"/>
    <w:rsid w:val="00EC6F4C"/>
    <w:rsid w:val="00EC75B0"/>
    <w:rsid w:val="00ED5FCA"/>
    <w:rsid w:val="00ED735B"/>
    <w:rsid w:val="00EE2071"/>
    <w:rsid w:val="00EE2732"/>
    <w:rsid w:val="00EE32C6"/>
    <w:rsid w:val="00EF2E5E"/>
    <w:rsid w:val="00EF6797"/>
    <w:rsid w:val="00F01637"/>
    <w:rsid w:val="00F02A7E"/>
    <w:rsid w:val="00F04042"/>
    <w:rsid w:val="00F15207"/>
    <w:rsid w:val="00F20662"/>
    <w:rsid w:val="00F50117"/>
    <w:rsid w:val="00F57546"/>
    <w:rsid w:val="00F61B10"/>
    <w:rsid w:val="00F62F49"/>
    <w:rsid w:val="00F727A8"/>
    <w:rsid w:val="00F7443A"/>
    <w:rsid w:val="00F750E4"/>
    <w:rsid w:val="00F80584"/>
    <w:rsid w:val="00FA0606"/>
    <w:rsid w:val="00FA0F6E"/>
    <w:rsid w:val="00FA140D"/>
    <w:rsid w:val="00FA1AB1"/>
    <w:rsid w:val="00FB2554"/>
    <w:rsid w:val="00FB4FC6"/>
    <w:rsid w:val="00FB6B54"/>
    <w:rsid w:val="00FB7068"/>
    <w:rsid w:val="00FB7BEB"/>
    <w:rsid w:val="00FC0145"/>
    <w:rsid w:val="00FC3FB1"/>
    <w:rsid w:val="00FD07A1"/>
    <w:rsid w:val="00FD480F"/>
    <w:rsid w:val="00FD6370"/>
    <w:rsid w:val="00FD7172"/>
    <w:rsid w:val="00FE65A6"/>
    <w:rsid w:val="00FE7E5E"/>
    <w:rsid w:val="00FF1684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7B152"/>
  <w15:docId w15:val="{9C5E8357-D90E-4DE9-9384-3C63F1D2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1B"/>
    <w:pPr>
      <w:spacing w:line="276" w:lineRule="auto"/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57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03BD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057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03BD9"/>
    <w:rPr>
      <w:rFonts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DA18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locked/>
    <w:rsid w:val="00703BD9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DA18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uiPriority w:val="99"/>
    <w:semiHidden/>
    <w:locked/>
    <w:rsid w:val="00703BD9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5132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03BD9"/>
    <w:rPr>
      <w:rFonts w:cs="Times New Roman"/>
      <w:sz w:val="2"/>
    </w:rPr>
  </w:style>
  <w:style w:type="paragraph" w:customStyle="1" w:styleId="a9">
    <w:name w:val="Базовый"/>
    <w:rsid w:val="00000086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theme="minorBidi"/>
      <w:color w:val="00000A"/>
      <w:lang w:eastAsia="en-US"/>
    </w:rPr>
  </w:style>
  <w:style w:type="character" w:customStyle="1" w:styleId="-">
    <w:name w:val="Интернет-ссылка"/>
    <w:basedOn w:val="a0"/>
    <w:rsid w:val="00000086"/>
    <w:rPr>
      <w:color w:val="0000FF"/>
      <w:u w:val="single"/>
      <w:lang w:val="ru-RU" w:eastAsia="ru-RU" w:bidi="ru-RU"/>
    </w:rPr>
  </w:style>
  <w:style w:type="paragraph" w:styleId="aa">
    <w:name w:val="Normal (Web)"/>
    <w:basedOn w:val="a9"/>
    <w:uiPriority w:val="99"/>
    <w:unhideWhenUsed/>
    <w:rsid w:val="00000086"/>
  </w:style>
  <w:style w:type="character" w:styleId="ab">
    <w:name w:val="Hyperlink"/>
    <w:basedOn w:val="a0"/>
    <w:uiPriority w:val="99"/>
    <w:semiHidden/>
    <w:unhideWhenUsed/>
    <w:rsid w:val="004C5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057-18/paran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z0057-18/paran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z0057-18/paran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ssa_olga.rada\&#1056;&#1072;&#1073;&#1086;&#1095;&#1080;&#1081;%20&#1089;&#1090;&#1086;&#1083;\&#1053;&#1086;&#1074;&#1072;\&#1041;&#1083;&#1072;&#1085;&#1082;%20&#1044;&#1046;&#1050;&#105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ABBA-2393-4891-8246-82C56B38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ДЖКК</Template>
  <TotalTime>106</TotalTime>
  <Pages>8</Pages>
  <Words>2993</Words>
  <Characters>17065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</vt:lpstr>
      <vt:lpstr>                                                      </vt:lpstr>
    </vt:vector>
  </TitlesOfParts>
  <Company/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dissa_olga</dc:creator>
  <cp:keywords/>
  <dc:description/>
  <cp:lastModifiedBy>admin</cp:lastModifiedBy>
  <cp:revision>21</cp:revision>
  <cp:lastPrinted>2024-03-11T14:11:00Z</cp:lastPrinted>
  <dcterms:created xsi:type="dcterms:W3CDTF">2024-03-07T14:32:00Z</dcterms:created>
  <dcterms:modified xsi:type="dcterms:W3CDTF">2024-03-14T12:28:00Z</dcterms:modified>
</cp:coreProperties>
</file>