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1" w:rsidRPr="00FF0BDD" w:rsidRDefault="00FF0BDD" w:rsidP="005001E4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Д</w:t>
      </w:r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 закупівлі послуг</w:t>
      </w:r>
      <w:r w:rsidR="00814D48" w:rsidRPr="00FF0BD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із розроблення</w:t>
      </w:r>
      <w:r w:rsidR="00823BD9" w:rsidRPr="00FF0BD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детального плану території</w:t>
      </w:r>
      <w:r w:rsidR="006B60C0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001E4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</w:t>
      </w:r>
      <w:r w:rsidR="00F63180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006F7B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12</w:t>
      </w:r>
      <w:r w:rsidR="009409CE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.2023</w:t>
      </w:r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р. в електронній системі публічних </w:t>
      </w:r>
      <w:proofErr w:type="spellStart"/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закупівель</w:t>
      </w:r>
      <w:proofErr w:type="spellEnd"/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proofErr w:type="spellStart"/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Prozorro</w:t>
      </w:r>
      <w:proofErr w:type="spellEnd"/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» </w:t>
      </w:r>
      <w:r w:rsidR="006B60C0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оголошено відкриті торги</w:t>
      </w:r>
      <w:r w:rsidR="00F1632E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 особливостями</w:t>
      </w:r>
      <w:r w:rsidR="00593FB0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закупівлю послуг</w:t>
      </w:r>
      <w:r w:rsidR="004B16F0" w:rsidRPr="00FF0BD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</w:t>
      </w:r>
      <w:r w:rsidR="00593FB0" w:rsidRPr="00FF0BD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«</w:t>
      </w:r>
      <w:r w:rsidR="005001E4" w:rsidRPr="00FF0BD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Послуги із 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області» </w:t>
      </w:r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(Ідентифікатор закупівлі:</w:t>
      </w:r>
      <w:r w:rsidR="00F1632E" w:rsidRPr="00FF0BD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5001E4" w:rsidRPr="00FF0BD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UA-2023-12-11-007901-a</w:t>
      </w:r>
      <w:r w:rsidRPr="00FF0BD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</w:t>
      </w:r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</w:t>
      </w:r>
      <w:r w:rsidR="00F63180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001E4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очікуваною вартістю – 278 268</w:t>
      </w:r>
      <w:r w:rsidR="00240831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,00 грн.</w:t>
      </w:r>
      <w:r w:rsidR="00240831" w:rsidRPr="00FF0BDD">
        <w:rPr>
          <w:color w:val="auto"/>
        </w:rPr>
        <w:t xml:space="preserve"> </w:t>
      </w:r>
    </w:p>
    <w:p w:rsidR="00240831" w:rsidRPr="00FF0BDD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виконання Постанови Кабінету Міністрі</w:t>
      </w:r>
      <w:r w:rsidR="00FF0BDD"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України від 16 грудня 2020р. №</w:t>
      </w: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даних послуг  (Ідентифікатор закупівлі:</w:t>
      </w:r>
      <w:r w:rsidR="00F1632E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01E4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>UA-2023-12-11-007901-a</w:t>
      </w: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>,  повідомляємо:</w:t>
      </w:r>
    </w:p>
    <w:p w:rsidR="00240831" w:rsidRPr="00FF0BDD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40831" w:rsidRPr="00FF0BDD" w:rsidRDefault="00240831" w:rsidP="00240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 розміру бюджетного призначення:</w:t>
      </w:r>
    </w:p>
    <w:p w:rsidR="00240831" w:rsidRPr="00FF0BDD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Відповідно до рішення сесії Кал</w:t>
      </w:r>
      <w:r w:rsidR="0021509E"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уської міської ради №1849 від 22.12.2022</w:t>
      </w: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Калуської місько</w:t>
      </w:r>
      <w:r w:rsidR="0021509E"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>ї територіальної громади на 2023</w:t>
      </w: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006F7B"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з Програмою діяльності управління архітектури та містобудування Калуської міської ради на 2021-2025 роки» </w:t>
      </w:r>
      <w:r w:rsidR="005E070A"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130 від 17.12.2020 </w:t>
      </w: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 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240831" w:rsidRPr="00FF0BDD" w:rsidRDefault="00240831" w:rsidP="00240831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240831" w:rsidRPr="00FF0BDD" w:rsidRDefault="00240831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6D0C"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положеннями Примірної методики визначення очікуваної вартості предмета закупівлі, затвердженої наказом</w:t>
      </w:r>
      <w:r w:rsidR="00695D4E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Міністерства розвитку економіки, торгівлі та сільського господарства України</w:t>
      </w:r>
      <w:r w:rsidR="00E30532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18.02.2020 р. № </w:t>
      </w:r>
      <w:r w:rsidR="00ED6D0C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>275,</w:t>
      </w:r>
      <w:r w:rsidR="00695D4E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проведення ринкових консультацій щодо визначення очікуваної вартості, зазначеного вище предмету закупівлі за єдиними умовами, направлялися запити цінових пропозицій</w:t>
      </w:r>
      <w:r w:rsidR="00ED6D0C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перспективних надавачів відповідних послуг. Враховуючи отримані цінові пропозиції встановлено, що очікувана вартість послуги із «</w:t>
      </w:r>
      <w:r w:rsidR="005001E4" w:rsidRPr="00FF0B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</w:t>
      </w:r>
      <w:r w:rsidR="005001E4" w:rsidRPr="00FF0BD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D6D0C" w:rsidRPr="00FF0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становить: </w:t>
      </w:r>
    </w:p>
    <w:p w:rsidR="00ED6D0C" w:rsidRPr="00FF0BDD" w:rsidRDefault="00ED6D0C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2120"/>
      </w:tblGrid>
      <w:tr w:rsidR="00FF0BDD" w:rsidRPr="00FF0BDD" w:rsidTr="000F25D2">
        <w:tc>
          <w:tcPr>
            <w:tcW w:w="9345" w:type="dxa"/>
            <w:gridSpan w:val="3"/>
          </w:tcPr>
          <w:p w:rsidR="00ED6D0C" w:rsidRPr="00FF0BDD" w:rsidRDefault="005001E4" w:rsidP="00ED6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</w:t>
            </w:r>
            <w:r w:rsidRPr="00FF0B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F0BDD" w:rsidRPr="00FF0BDD" w:rsidTr="00511F5A">
        <w:tc>
          <w:tcPr>
            <w:tcW w:w="4106" w:type="dxa"/>
          </w:tcPr>
          <w:p w:rsidR="00ED6D0C" w:rsidRPr="00FF0BDD" w:rsidRDefault="005001E4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Комерційна пропозиція №1</w:t>
            </w:r>
          </w:p>
        </w:tc>
        <w:tc>
          <w:tcPr>
            <w:tcW w:w="3119" w:type="dxa"/>
          </w:tcPr>
          <w:p w:rsidR="00ED6D0C" w:rsidRPr="00FF0BDD" w:rsidRDefault="005001E4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289 805,02</w:t>
            </w:r>
          </w:p>
        </w:tc>
        <w:tc>
          <w:tcPr>
            <w:tcW w:w="2120" w:type="dxa"/>
          </w:tcPr>
          <w:p w:rsidR="00ED6D0C" w:rsidRPr="00FF0BDD" w:rsidRDefault="00ED6D0C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FF0BDD" w:rsidRPr="00FF0BDD" w:rsidTr="00511F5A">
        <w:tc>
          <w:tcPr>
            <w:tcW w:w="4106" w:type="dxa"/>
          </w:tcPr>
          <w:p w:rsidR="00ED6D0C" w:rsidRPr="00FF0BDD" w:rsidRDefault="005001E4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Комерційна пропозиція №2</w:t>
            </w:r>
          </w:p>
        </w:tc>
        <w:tc>
          <w:tcPr>
            <w:tcW w:w="3119" w:type="dxa"/>
          </w:tcPr>
          <w:p w:rsidR="00ED6D0C" w:rsidRPr="00FF0BDD" w:rsidRDefault="005001E4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288 000,00</w:t>
            </w:r>
          </w:p>
        </w:tc>
        <w:tc>
          <w:tcPr>
            <w:tcW w:w="2120" w:type="dxa"/>
          </w:tcPr>
          <w:p w:rsidR="00ED6D0C" w:rsidRPr="00FF0BDD" w:rsidRDefault="00ED6D0C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FF0BDD" w:rsidRPr="00FF0BDD" w:rsidTr="00511F5A">
        <w:trPr>
          <w:trHeight w:val="299"/>
        </w:trPr>
        <w:tc>
          <w:tcPr>
            <w:tcW w:w="4106" w:type="dxa"/>
          </w:tcPr>
          <w:p w:rsidR="00511F5A" w:rsidRPr="00FF0BDD" w:rsidRDefault="005001E4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Комерційна пропозиція №3</w:t>
            </w:r>
          </w:p>
        </w:tc>
        <w:tc>
          <w:tcPr>
            <w:tcW w:w="3119" w:type="dxa"/>
          </w:tcPr>
          <w:p w:rsidR="00511F5A" w:rsidRPr="00FF0BDD" w:rsidRDefault="005001E4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257 000,00</w:t>
            </w:r>
          </w:p>
        </w:tc>
        <w:tc>
          <w:tcPr>
            <w:tcW w:w="2120" w:type="dxa"/>
          </w:tcPr>
          <w:p w:rsidR="00511F5A" w:rsidRPr="00FF0BDD" w:rsidRDefault="00511F5A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</w:tbl>
    <w:p w:rsidR="00ED6D0C" w:rsidRPr="00FF0BDD" w:rsidRDefault="00511F5A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Очікувану вартість </w:t>
      </w:r>
      <w:r w:rsidR="005001E4" w:rsidRPr="00FF0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заокруглено до 278 268</w:t>
      </w:r>
      <w:r w:rsidRPr="00FF0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грн.</w:t>
      </w:r>
    </w:p>
    <w:p w:rsidR="00F63180" w:rsidRPr="00FF0BDD" w:rsidRDefault="00F63180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831" w:rsidRPr="00FF0BDD" w:rsidRDefault="00F63180" w:rsidP="00240831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240831" w:rsidRPr="00FF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0831" w:rsidRPr="00FF0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240831" w:rsidRPr="00FF0BDD" w:rsidRDefault="00240831" w:rsidP="00724DC3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Технічне завд</w:t>
      </w:r>
      <w:r w:rsidR="00593FB0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ання передбачене Додатком 2 до Т</w:t>
      </w:r>
      <w:r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ендерної документації щодо закупівлі послуг</w:t>
      </w:r>
      <w:r w:rsidR="00724DC3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A35A9" w:rsidRPr="00FF0BD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«</w:t>
      </w:r>
      <w:r w:rsidR="00610616" w:rsidRPr="00FF0BD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Послуги із 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</w:t>
      </w:r>
      <w:r w:rsidR="003A35A9" w:rsidRPr="00FF0BD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»</w:t>
      </w:r>
      <w:r w:rsidR="003A35A9" w:rsidRPr="00FF0BDD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  <w:r w:rsidR="003A35A9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(Ідентифікатор закупівлі:</w:t>
      </w:r>
      <w:r w:rsidR="003A35A9" w:rsidRPr="00FF0BD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5001E4" w:rsidRPr="00FF0BD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UA-2023-12-11-007901-a</w:t>
      </w:r>
      <w:r w:rsidR="003A35A9" w:rsidRPr="00FF0B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</w:t>
      </w:r>
    </w:p>
    <w:p w:rsidR="00087650" w:rsidRPr="00FF0BDD" w:rsidRDefault="00087650" w:rsidP="00087650">
      <w:pPr>
        <w:rPr>
          <w:lang w:eastAsia="ru-RU"/>
        </w:rPr>
      </w:pPr>
      <w:r w:rsidRPr="00FF0BDD">
        <w:rPr>
          <w:lang w:eastAsia="ru-RU"/>
        </w:rPr>
        <w:t xml:space="preserve">   </w:t>
      </w:r>
    </w:p>
    <w:p w:rsidR="00087650" w:rsidRPr="00FF0BDD" w:rsidRDefault="00087650" w:rsidP="00087650">
      <w:pPr>
        <w:spacing w:after="0" w:line="240" w:lineRule="auto"/>
        <w:jc w:val="right"/>
        <w:rPr>
          <w:rStyle w:val="1441"/>
          <w:rFonts w:ascii="Times New Roman" w:hAnsi="Times New Roman" w:cs="Times New Roman"/>
          <w:b/>
          <w:bCs/>
          <w:sz w:val="28"/>
          <w:szCs w:val="28"/>
        </w:rPr>
      </w:pPr>
      <w:r w:rsidRPr="00FF0BDD">
        <w:rPr>
          <w:lang w:eastAsia="ru-RU"/>
        </w:rPr>
        <w:tab/>
        <w:t xml:space="preserve">                                     </w:t>
      </w:r>
      <w:r w:rsidRPr="00FF0BDD">
        <w:rPr>
          <w:rStyle w:val="1441"/>
          <w:rFonts w:ascii="Times New Roman" w:hAnsi="Times New Roman" w:cs="Times New Roman"/>
          <w:bCs/>
          <w:sz w:val="28"/>
          <w:szCs w:val="28"/>
        </w:rPr>
        <w:t>Додаток №2</w:t>
      </w:r>
      <w:r w:rsidRPr="00FF0BDD">
        <w:rPr>
          <w:rStyle w:val="1441"/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087650" w:rsidRPr="00FF0BDD" w:rsidRDefault="00087650" w:rsidP="00087650">
      <w:pPr>
        <w:spacing w:after="0" w:line="240" w:lineRule="auto"/>
        <w:jc w:val="right"/>
        <w:rPr>
          <w:rStyle w:val="1441"/>
          <w:rFonts w:ascii="Times New Roman" w:hAnsi="Times New Roman" w:cs="Times New Roman"/>
          <w:bCs/>
          <w:sz w:val="28"/>
          <w:szCs w:val="28"/>
        </w:rPr>
      </w:pPr>
      <w:r w:rsidRPr="00FF0BDD">
        <w:rPr>
          <w:rStyle w:val="1441"/>
          <w:rFonts w:ascii="Times New Roman" w:hAnsi="Times New Roman" w:cs="Times New Roman"/>
          <w:bCs/>
          <w:sz w:val="28"/>
          <w:szCs w:val="28"/>
        </w:rPr>
        <w:t>до Тендерної документації</w:t>
      </w:r>
    </w:p>
    <w:p w:rsidR="00087650" w:rsidRPr="00FF0BDD" w:rsidRDefault="00087650" w:rsidP="00087650">
      <w:pPr>
        <w:tabs>
          <w:tab w:val="left" w:pos="7290"/>
        </w:tabs>
        <w:rPr>
          <w:lang w:eastAsia="ru-RU"/>
        </w:rPr>
      </w:pPr>
    </w:p>
    <w:p w:rsidR="00087650" w:rsidRPr="00FF0BDD" w:rsidRDefault="00087650" w:rsidP="000876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DD">
        <w:rPr>
          <w:rFonts w:ascii="Times New Roman" w:eastAsia="Calibri" w:hAnsi="Times New Roman" w:cs="Times New Roman"/>
          <w:b/>
          <w:bCs/>
          <w:sz w:val="24"/>
          <w:szCs w:val="24"/>
        </w:rPr>
        <w:t>Технічна специфікація</w:t>
      </w:r>
    </w:p>
    <w:p w:rsidR="00087650" w:rsidRPr="00FF0BDD" w:rsidRDefault="00087650" w:rsidP="000876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DD">
        <w:rPr>
          <w:rFonts w:ascii="Times New Roman" w:eastAsia="Calibri" w:hAnsi="Times New Roman" w:cs="Times New Roman"/>
          <w:b/>
          <w:bCs/>
          <w:sz w:val="24"/>
          <w:szCs w:val="24"/>
        </w:rPr>
        <w:t>на закупівлю</w:t>
      </w:r>
    </w:p>
    <w:p w:rsidR="00087650" w:rsidRPr="00FF0BDD" w:rsidRDefault="00087650" w:rsidP="000876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ДК 021:2015: 71410000-5 - Послуги у сфері містобудування </w:t>
      </w:r>
    </w:p>
    <w:p w:rsidR="00087650" w:rsidRPr="00FF0BDD" w:rsidRDefault="00610616" w:rsidP="006106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D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FF0B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Послуги із 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</w:t>
      </w:r>
      <w:r w:rsidR="00087650" w:rsidRPr="00FF0BD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62A72" w:rsidRPr="00FF0BDD" w:rsidRDefault="00162A72" w:rsidP="00162A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DD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району Івано-Франківської області)</w:t>
      </w:r>
    </w:p>
    <w:p w:rsidR="00162A72" w:rsidRPr="00FF0BDD" w:rsidRDefault="00162A72" w:rsidP="00162A72">
      <w:pPr>
        <w:suppressAutoHyphens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2747"/>
        <w:gridCol w:w="6764"/>
      </w:tblGrid>
      <w:tr w:rsidR="00FF0BDD" w:rsidRPr="00FF0BDD" w:rsidTr="00CC02BA">
        <w:trPr>
          <w:trHeight w:val="574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Назва проектів містобудівної документації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B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Детальний план території для нового будівництва водозахисної дамби на р. Сівка в м. Калуш біля Домбровського кар</w:t>
            </w:r>
            <w:r w:rsidRPr="00FF0BD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Pr="00FF0B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єру</w:t>
            </w:r>
            <w:proofErr w:type="spellEnd"/>
          </w:p>
          <w:p w:rsidR="00162A72" w:rsidRPr="00FF0BDD" w:rsidRDefault="00162A72" w:rsidP="00162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Калуського району Івано-Франківської області</w:t>
            </w:r>
          </w:p>
        </w:tc>
      </w:tr>
      <w:tr w:rsidR="00FF0BDD" w:rsidRPr="00FF0BDD" w:rsidTr="00CC02BA">
        <w:trPr>
          <w:trHeight w:val="574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 для проектування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B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 Калуської міської ради від 27.07.2023 №2346</w:t>
            </w:r>
            <w:r w:rsidRPr="00FF0B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0B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 надання дозволу на 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області»</w:t>
            </w:r>
          </w:p>
          <w:p w:rsidR="00162A72" w:rsidRPr="00FF0BDD" w:rsidRDefault="00162A72" w:rsidP="00162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0BDD" w:rsidRPr="00FF0BDD" w:rsidTr="00CC02BA">
        <w:trPr>
          <w:trHeight w:val="475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Замовник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Управління архітектури та містобудування Калуської міської ради </w:t>
            </w:r>
          </w:p>
        </w:tc>
      </w:tr>
      <w:tr w:rsidR="00FF0BDD" w:rsidRPr="00FF0BDD" w:rsidTr="00CC02BA">
        <w:trPr>
          <w:trHeight w:val="47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Виконавець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Визначається за результатами проведення відкритих торгів</w:t>
            </w:r>
          </w:p>
        </w:tc>
      </w:tr>
      <w:tr w:rsidR="00FF0BDD" w:rsidRPr="00FF0BDD" w:rsidTr="00CC02BA">
        <w:trPr>
          <w:trHeight w:val="33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Фінансування проекту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Кошти бюджету міської територіальної громади</w:t>
            </w:r>
          </w:p>
        </w:tc>
      </w:tr>
      <w:tr w:rsidR="00FF0BDD" w:rsidRPr="00FF0BDD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Строк надання послуг із виготовлення детальних планів території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Відповідно до календарного плану</w:t>
            </w:r>
          </w:p>
        </w:tc>
      </w:tr>
      <w:tr w:rsidR="00FF0BDD" w:rsidRPr="00FF0BDD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Терміни першого та розрахункового етапів реалізації проекту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Відповідно до календарного плану </w:t>
            </w:r>
          </w:p>
        </w:tc>
      </w:tr>
      <w:tr w:rsidR="00FF0BDD" w:rsidRPr="00FF0BDD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Мета розроблення детального плану території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    уточнення планувальної структури і функціонального призначення території, просторової композиції, параметрів забудови та ландшафтної організації частини території населеного пункту;</w:t>
            </w:r>
          </w:p>
          <w:p w:rsidR="00162A72" w:rsidRPr="00FF0BDD" w:rsidRDefault="00162A72" w:rsidP="00162A72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формування принципів планувальної організації забудови;</w:t>
            </w:r>
          </w:p>
          <w:p w:rsidR="00162A72" w:rsidRPr="00FF0BDD" w:rsidRDefault="00162A72" w:rsidP="00162A72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встановлення червоних ліній та ліній регулювання забудови;</w:t>
            </w:r>
          </w:p>
          <w:p w:rsidR="00162A72" w:rsidRPr="00FF0BDD" w:rsidRDefault="00162A72" w:rsidP="00162A72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визначення всіх планувальних обмежень використання території згідно з державними будівельними нормами та санітарно-гігієнічними нормами;</w:t>
            </w:r>
          </w:p>
          <w:p w:rsidR="00162A72" w:rsidRPr="00FF0BDD" w:rsidRDefault="00162A72" w:rsidP="00162A72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уточнення містобудівних умов та обмежень згідно з планом зонування у разі його наявності;</w:t>
            </w:r>
          </w:p>
          <w:p w:rsidR="00162A72" w:rsidRPr="00FF0BDD" w:rsidRDefault="00162A72" w:rsidP="00162A72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визначення містобудівних умов та обмежень у разі відсутності плану зонування;</w:t>
            </w:r>
          </w:p>
          <w:p w:rsidR="00162A72" w:rsidRPr="00FF0BDD" w:rsidRDefault="00162A72" w:rsidP="00162A72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забезпечення комплексності забудови території;</w:t>
            </w:r>
          </w:p>
          <w:p w:rsidR="00162A72" w:rsidRPr="00FF0BDD" w:rsidRDefault="00162A72" w:rsidP="00162A72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визначення напрямів, черговості та обсягів подальшої діяльності щодо:</w:t>
            </w:r>
          </w:p>
          <w:p w:rsidR="00162A72" w:rsidRPr="00FF0BDD" w:rsidRDefault="00162A72" w:rsidP="00162A72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попереднього проведення інженерної підготовки та інженерного забезпечення території;</w:t>
            </w:r>
          </w:p>
          <w:p w:rsidR="00162A72" w:rsidRPr="00FF0BDD" w:rsidRDefault="00162A72" w:rsidP="00162A72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створення транспортної інфраструктури;</w:t>
            </w:r>
          </w:p>
          <w:p w:rsidR="00162A72" w:rsidRPr="00FF0BDD" w:rsidRDefault="00162A72" w:rsidP="00162A72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організації транспортного і пішохідного руху, розміщення місць паркування транспортних засобів;</w:t>
            </w:r>
          </w:p>
          <w:p w:rsidR="00162A72" w:rsidRPr="00FF0BDD" w:rsidRDefault="00162A72" w:rsidP="00162A72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охорони та поліпшення стану навколишнього середовища, забезпечення екологічної безпеки;</w:t>
            </w:r>
          </w:p>
          <w:p w:rsidR="00162A72" w:rsidRPr="00FF0BDD" w:rsidRDefault="00162A72" w:rsidP="00162A72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комплексного благоустрою та озеленення;</w:t>
            </w:r>
          </w:p>
          <w:p w:rsidR="00162A72" w:rsidRPr="00FF0BDD" w:rsidRDefault="00162A72" w:rsidP="00162A72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використання підземного простору тощо.</w:t>
            </w:r>
          </w:p>
        </w:tc>
      </w:tr>
      <w:tr w:rsidR="00FF0BDD" w:rsidRPr="00FF0BDD" w:rsidTr="00CC02BA">
        <w:trPr>
          <w:trHeight w:val="983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Графічні матеріали із зазначенням масштабу та текстові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FF0BDD" w:rsidRDefault="00162A72" w:rsidP="00162A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Розділи ДПТ відповідно до пункту 7 </w:t>
            </w:r>
            <w:r w:rsidRPr="00FF0BDD">
              <w:rPr>
                <w:rFonts w:ascii="Calibri" w:eastAsia="Calibri" w:hAnsi="Calibri" w:cs="Times New Roman"/>
              </w:rPr>
              <w:t xml:space="preserve"> </w:t>
            </w: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ДБН Б.1.1-14:2021</w:t>
            </w:r>
          </w:p>
          <w:p w:rsidR="00162A72" w:rsidRPr="00FF0BDD" w:rsidRDefault="00162A72" w:rsidP="00162A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 графічних матеріалів входять:</w:t>
            </w:r>
          </w:p>
          <w:p w:rsidR="00162A72" w:rsidRPr="00FF0BDD" w:rsidRDefault="00162A72" w:rsidP="00162A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МІСТОБУДІВНА ЧАСТИНА                                                        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Схема розташування території детального плану території в системі планувальної структури населеного пункту (М 1:5000);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Схема сучасного використання території та схема існуючих обмежень у використанні земель (М 1:1000);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Проектний план та схема проектних обмежень у використанні земель (М 1:1000);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План функціонального зонування території (М 1:1000)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Схема транспортної мобільності та інфраструктури  (М 1:1000);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Схема інженерного забезпечення території (М 1:1000);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Схема інженерної підготовки, благоустрою території та вертикального планування(М 1:1000);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Схема інженерно-технічних заходів цивільного захисту на мирний час</w:t>
            </w:r>
            <w:r w:rsidRPr="00FF0BDD">
              <w:rPr>
                <w:rFonts w:ascii="Calibri" w:eastAsia="Calibri" w:hAnsi="Calibri" w:cs="Times New Roman"/>
              </w:rPr>
              <w:t xml:space="preserve"> </w:t>
            </w: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(ДБН Б.1.1-5 та ДБН В.1.2-4);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Схема інженерно-технічних заходів цивільного захисту на особливий час (ДБН Б.1.1-5 та ДБН В.1.2-4)</w:t>
            </w:r>
            <w:r w:rsidRPr="00FF0BDD">
              <w:rPr>
                <w:rFonts w:ascii="Calibri" w:eastAsia="Calibri" w:hAnsi="Calibri" w:cs="Times New Roman"/>
              </w:rPr>
              <w:t>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План червоних ліній; 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Креслення поперечних профілів вулиць ( М1:1000)</w:t>
            </w:r>
          </w:p>
          <w:p w:rsidR="00162A72" w:rsidRPr="00FF0BDD" w:rsidRDefault="00162A72" w:rsidP="00162A72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ЗЕМЛЕВПОРЯДНА ЧАСТИНА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План сучасного використання земель за формою власності із зазначенням категорій та виду цільового призначення, з урахуванням наявних обмежень та обтяжень;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План земельних ділянок, сформованих за результатами розроблення детального плану, відомості про які підлягають внесенню до Державного земельного кадастру (М 1:1000);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 земельних ділянок, право власності на які посвідчено до 2004 року та відомості про які не </w:t>
            </w:r>
            <w:proofErr w:type="spellStart"/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внесено</w:t>
            </w:r>
            <w:proofErr w:type="spellEnd"/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Державного земельного кадастру (М 1:1000</w:t>
            </w:r>
            <w:r w:rsidRPr="00FF0BDD">
              <w:rPr>
                <w:rFonts w:ascii="Calibri" w:eastAsia="Calibri" w:hAnsi="Calibri" w:cs="Times New Roman"/>
              </w:rPr>
              <w:t>);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Calibri" w:hAnsi="Times New Roman" w:cs="Times New Roman"/>
                <w:sz w:val="24"/>
                <w:szCs w:val="24"/>
              </w:rPr>
              <w:t>План обмежень у використанні земель, відомості про які підлягають внесенню до Державного земельного кадастру на підставі розробленої містобудівної документації (М 1:1000)</w:t>
            </w:r>
          </w:p>
          <w:p w:rsidR="00162A72" w:rsidRPr="00FF0BDD" w:rsidRDefault="00162A72" w:rsidP="00162A72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Звіт «Стратегічна екологічна оцінка».</w:t>
            </w:r>
          </w:p>
          <w:p w:rsidR="00162A72" w:rsidRPr="00FF0BDD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0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Текстові матеріали ДПТ відповідають графічним матеріалам та формується у вигляді пояснювальної записки. 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Перелік основних техніко-економічних показників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Згідно з</w:t>
            </w:r>
            <w:r w:rsidRPr="00162A72">
              <w:rPr>
                <w:rFonts w:ascii="Calibri" w:eastAsia="Calibri" w:hAnsi="Calibri" w:cs="Times New Roman"/>
              </w:rPr>
              <w:t xml:space="preserve"> </w:t>
            </w:r>
            <w:r w:rsidRPr="00162A72">
              <w:rPr>
                <w:rFonts w:ascii="Times New Roman" w:eastAsia="Calibri" w:hAnsi="Times New Roman" w:cs="Times New Roman"/>
                <w:sz w:val="24"/>
                <w:szCs w:val="24"/>
              </w:rPr>
              <w:t>ДБН Б.1.1-14:2021</w:t>
            </w: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додаток Е  (додаток погодити з замовником). 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Особливі вимоги до забудови, інженерного обладнання, організації транспорту, пішоходів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Вимоги до проекту: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Передбачити комплексне рішення інженерної підготовки території;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Передбачити комплекс гідротехнічних споруд- правобережні та лівобережні водозахисні дамби,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водорегулюючий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вузол (шлюз),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придамбовий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канал;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Передбачити черговість реалізації заходів;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Містобудівні умови та обмеження навести для всіх об’єктів  в межах розроблення проекту детального плану території;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Вимоги до інженерного обладнання та інженерної підготовки території;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Відповідно до вимог державних будівельних норм.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Вимоги до використання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геоінформаційних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технологій при розробленні окремих розділів схеми планування та їх тиражуванні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 час розроблення графічних матеріалів: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Застосувати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геоінформаційні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технології та структури атрибутивної інформації відповідно до вимог замовника, з урахуванням даних Державного земельного кадастру на картографічній основі в цифровій формі в державній системі координат (УСК – 2000);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Дотримуватись вимог норм щодо складу та змісту графічних матеріалів (</w:t>
            </w:r>
            <w:r w:rsidRPr="00162A72">
              <w:rPr>
                <w:rFonts w:ascii="Times New Roman" w:eastAsia="Calibri" w:hAnsi="Times New Roman" w:cs="Times New Roman"/>
                <w:sz w:val="24"/>
                <w:szCs w:val="24"/>
              </w:rPr>
              <w:t>ДБН Б.1.1-14:2021</w:t>
            </w: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                                              ДСТУ Б Б.1.1-17:2013);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Структура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геопросторових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даних та перелік атрибутивної інформації визначається замовником містобудівної документації згідно таблиці «Класифікація об’єктів містобудування», що додається;  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Передбачити відтворення інформації на паперових носіях;</w:t>
            </w:r>
          </w:p>
          <w:p w:rsidR="00162A72" w:rsidRPr="00162A72" w:rsidRDefault="00162A72" w:rsidP="00162A7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Забезпечити захист від несанкціонованого втручання.</w:t>
            </w:r>
          </w:p>
        </w:tc>
      </w:tr>
      <w:tr w:rsidR="00162A72" w:rsidRPr="00162A72" w:rsidTr="00CC02BA">
        <w:trPr>
          <w:trHeight w:val="725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Вихідні дані</w:t>
            </w:r>
          </w:p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(надаються замовником)</w:t>
            </w:r>
          </w:p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Рішення Калуської міської ради</w:t>
            </w:r>
            <w:r w:rsidRPr="00162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від 27.07.2023 №2346</w:t>
            </w:r>
            <w:r w:rsidRPr="00162A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 надання дозволу на 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області»</w:t>
            </w:r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;</w:t>
            </w:r>
          </w:p>
          <w:p w:rsidR="00162A72" w:rsidRPr="00162A72" w:rsidRDefault="00162A72" w:rsidP="00162A72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Топографічне знімання  масштабу 1:500 в цифровій і графічній формі в системі координат УСК-2000; </w:t>
            </w:r>
          </w:p>
          <w:p w:rsidR="00162A72" w:rsidRPr="00162A72" w:rsidRDefault="00162A72" w:rsidP="00162A72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Матеріали затвердженої містобудівної документації –Генерального плану м. Калуш (розробник ДП </w:t>
            </w:r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Український державний науково-дослідний інститут проектування міст «</w:t>
            </w:r>
            <w:proofErr w:type="spellStart"/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Діпромісто</w:t>
            </w:r>
            <w:proofErr w:type="spellEnd"/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» імені </w:t>
            </w:r>
            <w:proofErr w:type="spellStart"/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Ю.М.Білоконя</w:t>
            </w:r>
            <w:proofErr w:type="spellEnd"/>
            <w:r w:rsidRPr="00162A7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1979р) для послуг із розроблення детальних планів на території м. Калуш.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Необхідність попереднього розгляду замовником детального плану території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Здійснити попередній розгляд матеріалів детального плану території, після розроблення архітектурно-планувальної частини та ескізу, управлінням архітектури та містобудування Калуської міської ради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Перелік та кількість примірників графічних та текстових матеріалів, форма їх представлення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 паперових носіях текстові та графічні матеріали затвердженого детального плану території передаються:</w:t>
            </w:r>
          </w:p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Замовнику – 2-й, 3-й, 4-й примірники;</w:t>
            </w:r>
          </w:p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Виконавцю – 1-й примірник для архіву.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Формат подання для матеріалів, які передаються на магнітних носіях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Визначається з урахуванням вимог постанови Кабінету Міністрів України від 9 червня 2021 р. №632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</w:t>
            </w:r>
          </w:p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електронному вигляді текстові та графічні матеріали детального плану території передаються:</w:t>
            </w:r>
          </w:p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Замовнику – текстові: у форматі текстового редактора та скановані оригінали (*.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pdf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); графічні – профільні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геопросторові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дані з атрибутивним наповненням та структури наведеної у таблиці «Класифікація об’єктів містобудування», що додається до цих технічних вимог у форматі обмінних файлів *.SHP,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GeoTIFF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та файли-проекти для кожної графічної схеми із збереженням стилів та умовних позначень з прив’язкою в УСК – 2000, а також скановані матеріали (*.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pdf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). Роздільна здатність матеріалів не менше 300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dpi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сканування у кольорі. Скановані томи містобудівної документації передаються як багатосторінкові файли.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Вимоги щодо забезпечення державних інтересів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 окремим листом управління архітектури та містобудування Івано-Франківської ОДА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Додаткові вимоги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Розділ «Інженерно-технічні заходи цивільного захисту (цивільної оборони)» на мирний час та особливий період за окремими завданнями.</w:t>
            </w:r>
          </w:p>
          <w:p w:rsidR="00162A72" w:rsidRPr="00162A72" w:rsidRDefault="00162A72" w:rsidP="00162A72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Звіт про стратегічну екологічну оцінку.</w:t>
            </w:r>
          </w:p>
          <w:p w:rsidR="00162A72" w:rsidRPr="00162A72" w:rsidRDefault="00162A72" w:rsidP="00162A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Участь у погодженні </w:t>
            </w:r>
            <w:proofErr w:type="spellStart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проєктних</w:t>
            </w:r>
            <w:proofErr w:type="spellEnd"/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рішень, громадських слуханнях, розгляд на архітектурно-містобудівній раді, внесення змін в містобудівну документацію за зауваженнями служб.</w:t>
            </w:r>
          </w:p>
        </w:tc>
      </w:tr>
      <w:tr w:rsidR="00162A72" w:rsidRPr="00162A72" w:rsidTr="00CC02BA">
        <w:trPr>
          <w:trHeight w:val="9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A72" w:rsidRPr="00162A72" w:rsidRDefault="00162A72" w:rsidP="00162A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Наявність пам’яток містобудування та архітектури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2" w:rsidRPr="00162A72" w:rsidRDefault="00162A72" w:rsidP="00162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2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Пам’ятки містобудування та архітектури відсутні.</w:t>
            </w:r>
          </w:p>
        </w:tc>
      </w:tr>
    </w:tbl>
    <w:p w:rsidR="00162A72" w:rsidRPr="00162A72" w:rsidRDefault="00162A72" w:rsidP="00162A7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2A7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</w:p>
    <w:p w:rsidR="00087650" w:rsidRPr="00610616" w:rsidRDefault="00087650" w:rsidP="003A3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7650" w:rsidRPr="00087650" w:rsidRDefault="00087650" w:rsidP="003A35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7650">
        <w:rPr>
          <w:rFonts w:ascii="Times New Roman" w:eastAsia="Calibri" w:hAnsi="Times New Roman" w:cs="Times New Roman"/>
          <w:bCs/>
          <w:sz w:val="28"/>
          <w:szCs w:val="28"/>
        </w:rPr>
        <w:t xml:space="preserve">Якщо в технічній специфікації міститься посилання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</w:t>
      </w:r>
      <w:r w:rsidRPr="000876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конкретне місце походження чи спосіб виробництва, то слід розуміти у значені «або еквівалент».</w:t>
      </w:r>
    </w:p>
    <w:p w:rsidR="00087650" w:rsidRPr="00087650" w:rsidRDefault="00087650" w:rsidP="000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593FB0" w:rsidRPr="00593FB0" w:rsidRDefault="00593FB0" w:rsidP="00593FB0">
      <w:pPr>
        <w:rPr>
          <w:lang w:eastAsia="ru-RU"/>
        </w:rPr>
      </w:pPr>
    </w:p>
    <w:p w:rsidR="00240831" w:rsidRPr="003C5DB2" w:rsidRDefault="00545DC7" w:rsidP="003A3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006F7B" w:rsidRDefault="00006F7B" w:rsidP="00006F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начальника управління-</w:t>
      </w:r>
      <w:r w:rsidR="002408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B16F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240831" w:rsidRDefault="00006F7B" w:rsidP="00006F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відділу</w:t>
      </w:r>
      <w:r w:rsidR="004B16F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Людмила СЕМЕНЯК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rPr>
          <w:rFonts w:ascii="Times New Roman" w:hAnsi="Times New Roman" w:cs="Times New Roman"/>
          <w:sz w:val="28"/>
          <w:szCs w:val="28"/>
        </w:rPr>
      </w:pPr>
    </w:p>
    <w:p w:rsidR="004A6933" w:rsidRDefault="004B16F0" w:rsidP="004A693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sz w:val="20"/>
          <w:szCs w:val="20"/>
        </w:rPr>
        <w:t xml:space="preserve">          </w:t>
      </w:r>
    </w:p>
    <w:p w:rsidR="004A6933" w:rsidRDefault="004A6933" w:rsidP="004A6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40831" w:rsidRDefault="00240831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2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A71"/>
    <w:multiLevelType w:val="hybridMultilevel"/>
    <w:tmpl w:val="8EACD614"/>
    <w:lvl w:ilvl="0" w:tplc="A510E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25B9"/>
    <w:multiLevelType w:val="hybridMultilevel"/>
    <w:tmpl w:val="A9AA7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2016"/>
    <w:multiLevelType w:val="hybridMultilevel"/>
    <w:tmpl w:val="9FB2DD9E"/>
    <w:lvl w:ilvl="0" w:tplc="1B88A7C4">
      <w:start w:val="1"/>
      <w:numFmt w:val="decimal"/>
      <w:lvlText w:val="%1)"/>
      <w:lvlJc w:val="left"/>
      <w:pPr>
        <w:ind w:left="6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3" w:hanging="360"/>
      </w:pPr>
    </w:lvl>
    <w:lvl w:ilvl="2" w:tplc="0422001B" w:tentative="1">
      <w:start w:val="1"/>
      <w:numFmt w:val="lowerRoman"/>
      <w:lvlText w:val="%3."/>
      <w:lvlJc w:val="right"/>
      <w:pPr>
        <w:ind w:left="2123" w:hanging="180"/>
      </w:pPr>
    </w:lvl>
    <w:lvl w:ilvl="3" w:tplc="0422000F" w:tentative="1">
      <w:start w:val="1"/>
      <w:numFmt w:val="decimal"/>
      <w:lvlText w:val="%4."/>
      <w:lvlJc w:val="left"/>
      <w:pPr>
        <w:ind w:left="2843" w:hanging="360"/>
      </w:pPr>
    </w:lvl>
    <w:lvl w:ilvl="4" w:tplc="04220019" w:tentative="1">
      <w:start w:val="1"/>
      <w:numFmt w:val="lowerLetter"/>
      <w:lvlText w:val="%5."/>
      <w:lvlJc w:val="left"/>
      <w:pPr>
        <w:ind w:left="3563" w:hanging="360"/>
      </w:pPr>
    </w:lvl>
    <w:lvl w:ilvl="5" w:tplc="0422001B" w:tentative="1">
      <w:start w:val="1"/>
      <w:numFmt w:val="lowerRoman"/>
      <w:lvlText w:val="%6."/>
      <w:lvlJc w:val="right"/>
      <w:pPr>
        <w:ind w:left="4283" w:hanging="180"/>
      </w:pPr>
    </w:lvl>
    <w:lvl w:ilvl="6" w:tplc="0422000F" w:tentative="1">
      <w:start w:val="1"/>
      <w:numFmt w:val="decimal"/>
      <w:lvlText w:val="%7."/>
      <w:lvlJc w:val="left"/>
      <w:pPr>
        <w:ind w:left="5003" w:hanging="360"/>
      </w:pPr>
    </w:lvl>
    <w:lvl w:ilvl="7" w:tplc="04220019" w:tentative="1">
      <w:start w:val="1"/>
      <w:numFmt w:val="lowerLetter"/>
      <w:lvlText w:val="%8."/>
      <w:lvlJc w:val="left"/>
      <w:pPr>
        <w:ind w:left="5723" w:hanging="360"/>
      </w:pPr>
    </w:lvl>
    <w:lvl w:ilvl="8" w:tplc="0422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2446380B"/>
    <w:multiLevelType w:val="multilevel"/>
    <w:tmpl w:val="788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D2ED6"/>
    <w:multiLevelType w:val="hybridMultilevel"/>
    <w:tmpl w:val="FA009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A4DF4"/>
    <w:multiLevelType w:val="hybridMultilevel"/>
    <w:tmpl w:val="62FE1C48"/>
    <w:lvl w:ilvl="0" w:tplc="53BCC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55FE5"/>
    <w:multiLevelType w:val="multilevel"/>
    <w:tmpl w:val="1C7C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02BBF"/>
    <w:multiLevelType w:val="multilevel"/>
    <w:tmpl w:val="DF0C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04F06"/>
    <w:multiLevelType w:val="multilevel"/>
    <w:tmpl w:val="A4C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EA4F2B"/>
    <w:multiLevelType w:val="hybridMultilevel"/>
    <w:tmpl w:val="3F4A5884"/>
    <w:lvl w:ilvl="0" w:tplc="BE02F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D62FD"/>
    <w:multiLevelType w:val="hybridMultilevel"/>
    <w:tmpl w:val="D93675D2"/>
    <w:lvl w:ilvl="0" w:tplc="F26A963C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3" w15:restartNumberingAfterBreak="0">
    <w:nsid w:val="75033B44"/>
    <w:multiLevelType w:val="hybridMultilevel"/>
    <w:tmpl w:val="5CC6B454"/>
    <w:lvl w:ilvl="0" w:tplc="C5A862F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B7E46"/>
    <w:multiLevelType w:val="hybridMultilevel"/>
    <w:tmpl w:val="3B86D48E"/>
    <w:lvl w:ilvl="0" w:tplc="4E1CF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5A"/>
    <w:rsid w:val="00006F7B"/>
    <w:rsid w:val="00015875"/>
    <w:rsid w:val="00087650"/>
    <w:rsid w:val="00162A72"/>
    <w:rsid w:val="00163FAC"/>
    <w:rsid w:val="0021509E"/>
    <w:rsid w:val="00240831"/>
    <w:rsid w:val="002A342C"/>
    <w:rsid w:val="003A35A9"/>
    <w:rsid w:val="003C5DB2"/>
    <w:rsid w:val="00445150"/>
    <w:rsid w:val="004A6933"/>
    <w:rsid w:val="004B16F0"/>
    <w:rsid w:val="005001E4"/>
    <w:rsid w:val="00511F5A"/>
    <w:rsid w:val="00545DC7"/>
    <w:rsid w:val="005547EF"/>
    <w:rsid w:val="00593FB0"/>
    <w:rsid w:val="005C3A77"/>
    <w:rsid w:val="005E070A"/>
    <w:rsid w:val="00601BC0"/>
    <w:rsid w:val="00610616"/>
    <w:rsid w:val="00687AD9"/>
    <w:rsid w:val="00695D4E"/>
    <w:rsid w:val="006A209B"/>
    <w:rsid w:val="006B60C0"/>
    <w:rsid w:val="006C625C"/>
    <w:rsid w:val="007026B8"/>
    <w:rsid w:val="00724DC3"/>
    <w:rsid w:val="00745C35"/>
    <w:rsid w:val="007B7A31"/>
    <w:rsid w:val="00814D48"/>
    <w:rsid w:val="00823BD9"/>
    <w:rsid w:val="008C0209"/>
    <w:rsid w:val="009409CE"/>
    <w:rsid w:val="00A168BF"/>
    <w:rsid w:val="00A825B8"/>
    <w:rsid w:val="00AE525A"/>
    <w:rsid w:val="00DB45AA"/>
    <w:rsid w:val="00E30532"/>
    <w:rsid w:val="00EA2A0B"/>
    <w:rsid w:val="00ED6D0C"/>
    <w:rsid w:val="00F1632E"/>
    <w:rsid w:val="00F26C7C"/>
    <w:rsid w:val="00F63180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F9CB"/>
  <w15:chartTrackingRefBased/>
  <w15:docId w15:val="{9B6AC657-A6C0-435F-9818-608951A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1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2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7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80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24D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5">
    <w:name w:val="Normal (Web)"/>
    <w:basedOn w:val="a"/>
    <w:uiPriority w:val="99"/>
    <w:semiHidden/>
    <w:unhideWhenUsed/>
    <w:rsid w:val="004A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633,baiaagaaboqcaaadcggaaawacaaaaaaaaaaaaaaaaaaaaaaaaaaaaaaaaaaaaaaaaaaaaaaaaaaaaaaaaaaaaaaaaaaaaaaaaaaaaaaaaaaaaaaaaaaaaaaaaaaaaaaaaaaaaaaaaaaaaaaaaaaaaaaaaaaaaaaaaaaaaaaaaaaaaaaaaaaaaaaaaaaaaaaaaaaaaaaaaaaaaaaaaaaaaaaaaaaaaaaaaaaaaaaa"/>
    <w:basedOn w:val="a"/>
    <w:rsid w:val="0001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41">
    <w:name w:val="1441"/>
    <w:aliases w:val="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545DC7"/>
  </w:style>
  <w:style w:type="character" w:customStyle="1" w:styleId="20">
    <w:name w:val="Заголовок 2 Знак"/>
    <w:basedOn w:val="a0"/>
    <w:link w:val="2"/>
    <w:uiPriority w:val="9"/>
    <w:rsid w:val="000876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6">
    <w:name w:val="Table Grid"/>
    <w:basedOn w:val="a1"/>
    <w:uiPriority w:val="39"/>
    <w:rsid w:val="00ED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7852</Words>
  <Characters>4477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2023-12-12T12:18:00Z</cp:lastPrinted>
  <dcterms:created xsi:type="dcterms:W3CDTF">2023-12-14T06:12:00Z</dcterms:created>
  <dcterms:modified xsi:type="dcterms:W3CDTF">2023-12-14T06:12:00Z</dcterms:modified>
</cp:coreProperties>
</file>