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A61B4D" w:rsidRPr="00D471BF" w:rsidRDefault="00F6706B" w:rsidP="00A61B4D">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«Детального плану</w:t>
      </w:r>
      <w:r w:rsidR="00D471BF" w:rsidRPr="00D471BF">
        <w:rPr>
          <w:rFonts w:ascii="Times New Roman" w:hAnsi="Times New Roman" w:cs="Times New Roman"/>
          <w:sz w:val="26"/>
          <w:szCs w:val="26"/>
        </w:rPr>
        <w:t xml:space="preserve"> </w:t>
      </w:r>
      <w:r w:rsidR="00AB3B35">
        <w:rPr>
          <w:rFonts w:ascii="Times New Roman" w:hAnsi="Times New Roman" w:cs="Times New Roman"/>
          <w:sz w:val="26"/>
          <w:szCs w:val="26"/>
        </w:rPr>
        <w:t>території орієнтов</w:t>
      </w:r>
      <w:r>
        <w:rPr>
          <w:rFonts w:ascii="Times New Roman" w:hAnsi="Times New Roman" w:cs="Times New Roman"/>
          <w:sz w:val="26"/>
          <w:szCs w:val="26"/>
        </w:rPr>
        <w:t xml:space="preserve">ною площею 2,5 га для реконструкції нежитлових приміщень під реабілітаційний центр </w:t>
      </w:r>
      <w:r w:rsidR="00B06DAE">
        <w:rPr>
          <w:rFonts w:ascii="Times New Roman" w:hAnsi="Times New Roman" w:cs="Times New Roman"/>
          <w:sz w:val="26"/>
          <w:szCs w:val="26"/>
        </w:rPr>
        <w:t xml:space="preserve">для ветеранів війни </w:t>
      </w:r>
      <w:r w:rsidR="00AB3B35">
        <w:rPr>
          <w:rFonts w:ascii="Times New Roman" w:hAnsi="Times New Roman" w:cs="Times New Roman"/>
          <w:sz w:val="26"/>
          <w:szCs w:val="26"/>
        </w:rPr>
        <w:t>на вул. Київ</w:t>
      </w:r>
      <w:bookmarkStart w:id="0" w:name="_GoBack"/>
      <w:bookmarkEnd w:id="0"/>
      <w:r>
        <w:rPr>
          <w:rFonts w:ascii="Times New Roman" w:hAnsi="Times New Roman" w:cs="Times New Roman"/>
          <w:sz w:val="26"/>
          <w:szCs w:val="26"/>
        </w:rPr>
        <w:t xml:space="preserve">ська,170 в м. </w:t>
      </w:r>
      <w:proofErr w:type="spellStart"/>
      <w:r>
        <w:rPr>
          <w:rFonts w:ascii="Times New Roman" w:hAnsi="Times New Roman" w:cs="Times New Roman"/>
          <w:sz w:val="26"/>
          <w:szCs w:val="26"/>
        </w:rPr>
        <w:t>Калуші</w:t>
      </w:r>
      <w:proofErr w:type="spellEnd"/>
      <w:r>
        <w:rPr>
          <w:rFonts w:ascii="Times New Roman" w:hAnsi="Times New Roman" w:cs="Times New Roman"/>
          <w:sz w:val="26"/>
          <w:szCs w:val="26"/>
        </w:rPr>
        <w:t xml:space="preserve"> Івано-Франківської області </w:t>
      </w:r>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212591" w:rsidRDefault="00851F0C" w:rsidP="00212591">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Pr>
          <w:sz w:val="26"/>
          <w:szCs w:val="26"/>
        </w:rPr>
        <w:t xml:space="preserve"> комітет Калуської міської ради, на підставі рішення Калуської міської ради від 21.12.2022 року №1818 «Про надання дозволу на розроблення детального плану території для реконструкції нежитлових приміщень під реабілітаційний центр на вул. Київська,170 в м. </w:t>
      </w:r>
      <w:proofErr w:type="spellStart"/>
      <w:r>
        <w:rPr>
          <w:sz w:val="26"/>
          <w:szCs w:val="26"/>
        </w:rPr>
        <w:t>Калуші</w:t>
      </w:r>
      <w:proofErr w:type="spellEnd"/>
      <w:r>
        <w:rPr>
          <w:sz w:val="26"/>
          <w:szCs w:val="26"/>
        </w:rPr>
        <w:t xml:space="preserve"> Івано-Франківської області»</w:t>
      </w:r>
      <w:r w:rsidR="00212591">
        <w:rPr>
          <w:sz w:val="26"/>
          <w:szCs w:val="26"/>
        </w:rPr>
        <w:t xml:space="preserve"> ви</w:t>
      </w:r>
      <w:r w:rsidR="00581FB7">
        <w:rPr>
          <w:sz w:val="26"/>
          <w:szCs w:val="26"/>
        </w:rPr>
        <w:t>значив завдання на розроблення Д</w:t>
      </w:r>
      <w:r w:rsidR="00212591">
        <w:rPr>
          <w:sz w:val="26"/>
          <w:szCs w:val="26"/>
        </w:rPr>
        <w:t>ета</w:t>
      </w:r>
      <w:r w:rsidR="00581FB7">
        <w:rPr>
          <w:sz w:val="26"/>
          <w:szCs w:val="26"/>
        </w:rPr>
        <w:t>льного плану території орієнтов</w:t>
      </w:r>
      <w:r w:rsidR="00212591">
        <w:rPr>
          <w:sz w:val="26"/>
          <w:szCs w:val="26"/>
        </w:rPr>
        <w:t xml:space="preserve">ною площею 2,5 га для реконструкції нежитлових приміщень під реабілітаційний центр для ветеранів війни на вул. Київська,170 в м. </w:t>
      </w:r>
      <w:proofErr w:type="spellStart"/>
      <w:r w:rsidR="00212591">
        <w:rPr>
          <w:sz w:val="26"/>
          <w:szCs w:val="26"/>
        </w:rPr>
        <w:t>Калуші</w:t>
      </w:r>
      <w:proofErr w:type="spellEnd"/>
      <w:r w:rsidR="00212591">
        <w:rPr>
          <w:sz w:val="26"/>
          <w:szCs w:val="26"/>
        </w:rPr>
        <w:t xml:space="preserve"> Івано-Франківської області.</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еалізація документа державного планування н</w:t>
      </w:r>
      <w:r w:rsidRPr="00212591">
        <w:rPr>
          <w:i/>
          <w:color w:val="000000"/>
          <w:sz w:val="26"/>
          <w:szCs w:val="26"/>
        </w:rPr>
        <w:t xml:space="preserve">е визначає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lastRenderedPageBreak/>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616F02" w:rsidRPr="00D471BF" w:rsidRDefault="00616F02"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EE7B3C" w:rsidRPr="00D471BF" w:rsidRDefault="00185F6D"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За результатами СЕО встановити екологічні </w:t>
      </w:r>
      <w:r w:rsidR="00AA0760" w:rsidRPr="00D471BF">
        <w:rPr>
          <w:color w:val="000000"/>
          <w:sz w:val="26"/>
          <w:szCs w:val="26"/>
        </w:rPr>
        <w:t>обмеження</w:t>
      </w:r>
      <w:r w:rsidRPr="00D471BF">
        <w:rPr>
          <w:color w:val="000000"/>
          <w:sz w:val="26"/>
          <w:szCs w:val="26"/>
        </w:rPr>
        <w:t xml:space="preserve"> реалізації таких об’єктів інф</w:t>
      </w:r>
      <w:r w:rsidR="0085527C" w:rsidRPr="00D471BF">
        <w:rPr>
          <w:color w:val="000000"/>
          <w:sz w:val="26"/>
          <w:szCs w:val="26"/>
        </w:rPr>
        <w:t>раструктури</w:t>
      </w:r>
      <w:r w:rsidRPr="00D471BF">
        <w:rPr>
          <w:color w:val="000000"/>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5"/>
      <w:bookmarkEnd w:id="1"/>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6"/>
      <w:bookmarkEnd w:id="2"/>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7"/>
      <w:bookmarkEnd w:id="3"/>
      <w:r w:rsidRPr="00D471BF">
        <w:rPr>
          <w:rFonts w:ascii="Times New Roman" w:eastAsia="Times New Roman" w:hAnsi="Times New Roman" w:cs="Times New Roman"/>
          <w:color w:val="000000"/>
          <w:sz w:val="26"/>
          <w:szCs w:val="26"/>
          <w:lang w:eastAsia="uk-UA"/>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w:t>
      </w:r>
      <w:r w:rsidRPr="00D471BF">
        <w:rPr>
          <w:rFonts w:ascii="Times New Roman" w:eastAsia="Times New Roman" w:hAnsi="Times New Roman" w:cs="Times New Roman"/>
          <w:color w:val="000000"/>
          <w:sz w:val="26"/>
          <w:szCs w:val="26"/>
          <w:lang w:eastAsia="uk-UA"/>
        </w:rPr>
        <w:lastRenderedPageBreak/>
        <w:t>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8"/>
      <w:bookmarkEnd w:id="4"/>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09"/>
      <w:bookmarkEnd w:id="5"/>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0"/>
      <w:bookmarkEnd w:id="6"/>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1"/>
      <w:bookmarkEnd w:id="7"/>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2"/>
      <w:bookmarkEnd w:id="8"/>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3"/>
      <w:bookmarkEnd w:id="9"/>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0" w:name="n114"/>
      <w:bookmarkEnd w:id="10"/>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D471BF" w:rsidRDefault="00006CC4" w:rsidP="00851F0C">
      <w:pPr>
        <w:spacing w:after="0" w:line="240" w:lineRule="auto"/>
        <w:ind w:firstLine="567"/>
        <w:contextualSpacing/>
        <w:jc w:val="both"/>
        <w:rPr>
          <w:rFonts w:ascii="Times New Roman" w:hAnsi="Times New Roman" w:cs="Times New Roman"/>
          <w:b/>
          <w:color w:val="000000"/>
          <w:sz w:val="26"/>
          <w:szCs w:val="26"/>
        </w:rPr>
      </w:pPr>
      <w:r w:rsidRPr="00D471BF">
        <w:rPr>
          <w:rFonts w:ascii="Times New Roman" w:hAnsi="Times New Roman" w:cs="Times New Roman"/>
          <w:sz w:val="26"/>
          <w:szCs w:val="26"/>
        </w:rPr>
        <w:t>Зауваження і пропозиції до Заяви про визначення обсягу стра</w:t>
      </w:r>
      <w:r w:rsidR="0085527C" w:rsidRPr="00D471BF">
        <w:rPr>
          <w:rFonts w:ascii="Times New Roman" w:hAnsi="Times New Roman" w:cs="Times New Roman"/>
          <w:sz w:val="26"/>
          <w:szCs w:val="26"/>
        </w:rPr>
        <w:t xml:space="preserve">тегічної екологічної оцінки </w:t>
      </w:r>
      <w:r w:rsidR="00A61B4D" w:rsidRPr="00D471BF">
        <w:rPr>
          <w:rFonts w:ascii="Times New Roman" w:hAnsi="Times New Roman" w:cs="Times New Roman"/>
          <w:sz w:val="26"/>
          <w:szCs w:val="26"/>
        </w:rPr>
        <w:t xml:space="preserve"> </w:t>
      </w:r>
      <w:r w:rsidR="00851F0C">
        <w:rPr>
          <w:rFonts w:ascii="Times New Roman" w:hAnsi="Times New Roman" w:cs="Times New Roman"/>
          <w:sz w:val="26"/>
          <w:szCs w:val="26"/>
        </w:rPr>
        <w:t>«Детального плану</w:t>
      </w:r>
      <w:r w:rsidR="00851F0C" w:rsidRPr="00D471BF">
        <w:rPr>
          <w:rFonts w:ascii="Times New Roman" w:hAnsi="Times New Roman" w:cs="Times New Roman"/>
          <w:sz w:val="26"/>
          <w:szCs w:val="26"/>
        </w:rPr>
        <w:t xml:space="preserve"> </w:t>
      </w:r>
      <w:r w:rsidR="00581FB7">
        <w:rPr>
          <w:rFonts w:ascii="Times New Roman" w:hAnsi="Times New Roman" w:cs="Times New Roman"/>
          <w:sz w:val="26"/>
          <w:szCs w:val="26"/>
        </w:rPr>
        <w:t>території орієнтов</w:t>
      </w:r>
      <w:r w:rsidR="00851F0C">
        <w:rPr>
          <w:rFonts w:ascii="Times New Roman" w:hAnsi="Times New Roman" w:cs="Times New Roman"/>
          <w:sz w:val="26"/>
          <w:szCs w:val="26"/>
        </w:rPr>
        <w:t xml:space="preserve">ною площею 2,5 га для реконструкції нежитлових приміщень під реабілітаційний центр для ветеранів війни на вул. Київіська,170 в м. </w:t>
      </w:r>
      <w:proofErr w:type="spellStart"/>
      <w:r w:rsidR="00851F0C">
        <w:rPr>
          <w:rFonts w:ascii="Times New Roman" w:hAnsi="Times New Roman" w:cs="Times New Roman"/>
          <w:sz w:val="26"/>
          <w:szCs w:val="26"/>
        </w:rPr>
        <w:t>Калуші</w:t>
      </w:r>
      <w:proofErr w:type="spellEnd"/>
      <w:r w:rsidR="00851F0C">
        <w:rPr>
          <w:rFonts w:ascii="Times New Roman" w:hAnsi="Times New Roman" w:cs="Times New Roman"/>
          <w:sz w:val="26"/>
          <w:szCs w:val="26"/>
        </w:rPr>
        <w:t xml:space="preserve"> Івано-Франківської області </w:t>
      </w:r>
      <w:r w:rsidR="00851F0C" w:rsidRPr="00D471BF">
        <w:rPr>
          <w:rFonts w:ascii="Times New Roman" w:hAnsi="Times New Roman" w:cs="Times New Roman"/>
          <w:sz w:val="26"/>
          <w:szCs w:val="26"/>
        </w:rPr>
        <w:t>»</w:t>
      </w:r>
      <w:r w:rsidR="00851F0C">
        <w:rPr>
          <w:rFonts w:ascii="Times New Roman" w:hAnsi="Times New Roman" w:cs="Times New Roman"/>
          <w:b/>
          <w:color w:val="000000"/>
          <w:sz w:val="26"/>
          <w:szCs w:val="26"/>
        </w:rPr>
        <w:t xml:space="preserve"> </w:t>
      </w:r>
      <w:r w:rsidR="00D471BF" w:rsidRPr="00D471BF">
        <w:rPr>
          <w:rFonts w:ascii="Times New Roman" w:hAnsi="Times New Roman" w:cs="Times New Roman"/>
          <w:b/>
          <w:color w:val="000000"/>
          <w:sz w:val="26"/>
          <w:szCs w:val="26"/>
        </w:rPr>
        <w:t xml:space="preserve"> </w:t>
      </w:r>
      <w:r w:rsidRPr="00D471BF">
        <w:rPr>
          <w:rFonts w:ascii="Times New Roman" w:hAnsi="Times New Roman" w:cs="Times New Roman"/>
          <w:b/>
          <w:i/>
          <w:sz w:val="26"/>
          <w:szCs w:val="26"/>
        </w:rPr>
        <w:t>подаються до:</w:t>
      </w:r>
      <w:r w:rsidR="00AA0806" w:rsidRPr="00D471BF">
        <w:rPr>
          <w:rFonts w:ascii="Times New Roman" w:hAnsi="Times New Roman" w:cs="Times New Roman"/>
          <w:b/>
          <w:i/>
          <w:sz w:val="26"/>
          <w:szCs w:val="26"/>
        </w:rPr>
        <w:t xml:space="preserve"> </w:t>
      </w:r>
      <w:r w:rsidR="00AA0806" w:rsidRPr="00D471BF">
        <w:rPr>
          <w:rFonts w:ascii="Times New Roman" w:hAnsi="Times New Roman" w:cs="Times New Roman"/>
          <w:bCs/>
          <w:sz w:val="26"/>
          <w:szCs w:val="26"/>
        </w:rPr>
        <w:t>Виконавчого комітету Калуської міської ради.</w:t>
      </w:r>
    </w:p>
    <w:p w:rsidR="006038EB" w:rsidRPr="00D471BF" w:rsidRDefault="006038EB" w:rsidP="00B91365">
      <w:pPr>
        <w:spacing w:after="0" w:line="240" w:lineRule="auto"/>
        <w:ind w:firstLine="567"/>
        <w:contextualSpacing/>
        <w:jc w:val="both"/>
        <w:rPr>
          <w:rFonts w:ascii="Times New Roman" w:hAnsi="Times New Roman" w:cs="Times New Roman"/>
          <w:sz w:val="26"/>
          <w:szCs w:val="26"/>
        </w:rPr>
      </w:pPr>
    </w:p>
    <w:p w:rsidR="00006CC4" w:rsidRPr="00D471BF" w:rsidRDefault="00006CC4" w:rsidP="009D2F5C">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9D2F5C" w:rsidRPr="00D471BF">
        <w:rPr>
          <w:rFonts w:ascii="Times New Roman" w:hAnsi="Times New Roman" w:cs="Times New Roman"/>
          <w:sz w:val="26"/>
          <w:szCs w:val="26"/>
        </w:rPr>
        <w:t xml:space="preserve">становить 15 днів </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81FB7"/>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1F0C"/>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B3B35"/>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7B5C"/>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C38F-0584-4474-837B-32A88FB6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6742</Words>
  <Characters>3844</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4</cp:revision>
  <cp:lastPrinted>2020-08-12T14:11:00Z</cp:lastPrinted>
  <dcterms:created xsi:type="dcterms:W3CDTF">2023-04-26T11:16:00Z</dcterms:created>
  <dcterms:modified xsi:type="dcterms:W3CDTF">2023-04-27T11:51:00Z</dcterms:modified>
</cp:coreProperties>
</file>