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ED" w:rsidRPr="00CE13ED" w:rsidRDefault="00CE13ED" w:rsidP="00CE13ED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Інформація щодо з</w:t>
      </w:r>
      <w:bookmarkStart w:id="0" w:name="_GoBack"/>
      <w:bookmarkEnd w:id="0"/>
      <w:r w:rsidRPr="00CE13ED">
        <w:rPr>
          <w:rFonts w:ascii="Times New Roman" w:hAnsi="Times New Roman" w:cs="Times New Roman"/>
          <w:b/>
          <w:sz w:val="24"/>
          <w:szCs w:val="24"/>
        </w:rPr>
        <w:t>абезпечення фізичної доступності для всіх категорій населення будівель органів державної влади, центрів надання адміністративних послуг, центрів надання соціальних, медичних, освітніх, комунальних послуг</w:t>
      </w:r>
    </w:p>
    <w:p w:rsidR="00F92BF2" w:rsidRPr="00CE13ED" w:rsidRDefault="00F92BF2" w:rsidP="00CE13ED">
      <w:pPr>
        <w:ind w:left="-993"/>
        <w:rPr>
          <w:rFonts w:ascii="Times New Roman" w:hAnsi="Times New Roman" w:cs="Times New Roman"/>
          <w:sz w:val="24"/>
          <w:szCs w:val="24"/>
        </w:rPr>
      </w:pPr>
      <w:r w:rsidRPr="00CE13ED">
        <w:rPr>
          <w:rFonts w:ascii="Times New Roman" w:hAnsi="Times New Roman" w:cs="Times New Roman"/>
          <w:sz w:val="24"/>
          <w:szCs w:val="24"/>
        </w:rPr>
        <w:t>Із 12 медичних закладів за інформацією ТзОВ «Альянс Консалтинг ІФ» 12 відповідають вимогам ДБН В.2.2.-40:2018 «Доступність будинків і споруд. Основні положення.</w:t>
      </w:r>
    </w:p>
    <w:p w:rsidR="004041EB" w:rsidRPr="004041EB" w:rsidRDefault="004041EB" w:rsidP="004041EB">
      <w:pPr>
        <w:ind w:left="-993"/>
        <w:rPr>
          <w:rFonts w:ascii="Times New Roman" w:hAnsi="Times New Roman" w:cs="Times New Roman"/>
          <w:sz w:val="24"/>
          <w:szCs w:val="24"/>
        </w:rPr>
      </w:pPr>
      <w:r w:rsidRPr="004041EB">
        <w:rPr>
          <w:rFonts w:ascii="Times New Roman" w:hAnsi="Times New Roman" w:cs="Times New Roman"/>
          <w:sz w:val="24"/>
          <w:szCs w:val="24"/>
        </w:rPr>
        <w:t>Забезпеч</w:t>
      </w:r>
      <w:r>
        <w:rPr>
          <w:rFonts w:ascii="Times New Roman" w:hAnsi="Times New Roman" w:cs="Times New Roman"/>
          <w:sz w:val="24"/>
          <w:szCs w:val="24"/>
        </w:rPr>
        <w:t xml:space="preserve">ується </w:t>
      </w:r>
      <w:r w:rsidRPr="004041EB">
        <w:rPr>
          <w:rFonts w:ascii="Times New Roman" w:hAnsi="Times New Roman" w:cs="Times New Roman"/>
          <w:sz w:val="24"/>
          <w:szCs w:val="24"/>
        </w:rPr>
        <w:t>безперебійн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4041EB">
        <w:rPr>
          <w:rFonts w:ascii="Times New Roman" w:hAnsi="Times New Roman" w:cs="Times New Roman"/>
          <w:sz w:val="24"/>
          <w:szCs w:val="24"/>
        </w:rPr>
        <w:t>робот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041EB">
        <w:rPr>
          <w:rFonts w:ascii="Times New Roman" w:hAnsi="Times New Roman" w:cs="Times New Roman"/>
          <w:sz w:val="24"/>
          <w:szCs w:val="24"/>
        </w:rPr>
        <w:t xml:space="preserve">  ліфта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1EB">
        <w:rPr>
          <w:rFonts w:ascii="Times New Roman" w:hAnsi="Times New Roman" w:cs="Times New Roman"/>
          <w:sz w:val="24"/>
          <w:szCs w:val="24"/>
        </w:rPr>
        <w:t xml:space="preserve">  пров</w:t>
      </w:r>
      <w:r>
        <w:rPr>
          <w:rFonts w:ascii="Times New Roman" w:hAnsi="Times New Roman" w:cs="Times New Roman"/>
          <w:sz w:val="24"/>
          <w:szCs w:val="24"/>
        </w:rPr>
        <w:t>одяться</w:t>
      </w:r>
      <w:r w:rsidRPr="004041EB">
        <w:rPr>
          <w:rFonts w:ascii="Times New Roman" w:hAnsi="Times New Roman" w:cs="Times New Roman"/>
          <w:sz w:val="24"/>
          <w:szCs w:val="24"/>
        </w:rPr>
        <w:t xml:space="preserve">  необхідн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041EB">
        <w:rPr>
          <w:rFonts w:ascii="Times New Roman" w:hAnsi="Times New Roman" w:cs="Times New Roman"/>
          <w:sz w:val="24"/>
          <w:szCs w:val="24"/>
        </w:rPr>
        <w:t xml:space="preserve"> ремонтн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041EB">
        <w:rPr>
          <w:rFonts w:ascii="Times New Roman" w:hAnsi="Times New Roman" w:cs="Times New Roman"/>
          <w:sz w:val="24"/>
          <w:szCs w:val="24"/>
        </w:rPr>
        <w:t xml:space="preserve"> роб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041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041EB">
        <w:rPr>
          <w:rFonts w:ascii="Times New Roman" w:hAnsi="Times New Roman" w:cs="Times New Roman"/>
          <w:sz w:val="24"/>
          <w:szCs w:val="24"/>
        </w:rPr>
        <w:t xml:space="preserve"> пандусів для покращення доступності.  </w:t>
      </w:r>
    </w:p>
    <w:p w:rsidR="004041EB" w:rsidRDefault="004041EB" w:rsidP="004041EB">
      <w:pPr>
        <w:ind w:left="-993"/>
        <w:rPr>
          <w:rFonts w:ascii="Times New Roman" w:hAnsi="Times New Roman" w:cs="Times New Roman"/>
          <w:sz w:val="24"/>
          <w:szCs w:val="24"/>
        </w:rPr>
      </w:pPr>
      <w:r w:rsidRPr="004041EB">
        <w:rPr>
          <w:rFonts w:ascii="Times New Roman" w:hAnsi="Times New Roman" w:cs="Times New Roman"/>
          <w:sz w:val="24"/>
          <w:szCs w:val="24"/>
        </w:rPr>
        <w:t>Обслуговування  наведених груп населення  позачергово, в «одне вікно»</w:t>
      </w:r>
    </w:p>
    <w:p w:rsidR="00F92BF2" w:rsidRDefault="00F92BF2" w:rsidP="00F92BF2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Головне управління пенсійного фонду України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</w:t>
      </w:r>
      <w:r>
        <w:rPr>
          <w:rFonts w:ascii="Calibri" w:hAnsi="Calibri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єрний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92BF2" w:rsidRDefault="00F92BF2" w:rsidP="00F92BF2">
      <w:pPr>
        <w:ind w:left="-993"/>
        <w:rPr>
          <w:rFonts w:ascii="Times New Roman" w:hAnsi="Times New Roman" w:cs="Times New Roman"/>
          <w:sz w:val="24"/>
          <w:szCs w:val="24"/>
        </w:rPr>
      </w:pPr>
      <w:r w:rsidRPr="00F92BF2">
        <w:rPr>
          <w:rFonts w:ascii="Times New Roman" w:hAnsi="Times New Roman" w:cs="Times New Roman"/>
          <w:sz w:val="24"/>
          <w:szCs w:val="24"/>
        </w:rPr>
        <w:t>Калуська міськрайонна філія Івано-Франківського обласного центру зайнятості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</w:t>
      </w:r>
      <w:r>
        <w:rPr>
          <w:rFonts w:ascii="Calibri" w:hAnsi="Calibri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єрний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92BF2" w:rsidRDefault="00F92BF2" w:rsidP="00F92BF2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F92BF2" w:rsidRDefault="00F92BF2" w:rsidP="00F92BF2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ЦНАП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</w:t>
      </w:r>
      <w:r>
        <w:rPr>
          <w:rFonts w:ascii="Calibri" w:hAnsi="Calibri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єрний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92BF2" w:rsidRDefault="00F92BF2" w:rsidP="00F92BF2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Калуський міськрайонний суд </w:t>
      </w:r>
      <w:r>
        <w:rPr>
          <w:rFonts w:ascii="Times New Roman" w:hAnsi="Times New Roman" w:cs="Times New Roman"/>
          <w:sz w:val="24"/>
          <w:szCs w:val="24"/>
        </w:rPr>
        <w:t xml:space="preserve"> - бар</w:t>
      </w:r>
      <w:r>
        <w:rPr>
          <w:rFonts w:ascii="Calibri" w:hAnsi="Calibri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єрний.</w:t>
      </w:r>
    </w:p>
    <w:p w:rsidR="00F92BF2" w:rsidRDefault="00F92BF2" w:rsidP="00F92BF2">
      <w:pPr>
        <w:ind w:left="-993"/>
        <w:rPr>
          <w:rFonts w:ascii="Times New Roman" w:hAnsi="Times New Roman" w:cs="Times New Roman"/>
          <w:sz w:val="24"/>
          <w:szCs w:val="24"/>
        </w:rPr>
      </w:pPr>
      <w:r w:rsidRPr="00F10714">
        <w:rPr>
          <w:rFonts w:ascii="Times New Roman" w:hAnsi="Times New Roman" w:cs="Times New Roman"/>
          <w:sz w:val="24"/>
          <w:szCs w:val="24"/>
        </w:rPr>
        <w:t>Із 4 структурних підрозділів з питань соціального захисту населення</w:t>
      </w:r>
      <w:r>
        <w:rPr>
          <w:rFonts w:ascii="Times New Roman" w:hAnsi="Times New Roman" w:cs="Times New Roman"/>
          <w:sz w:val="24"/>
          <w:szCs w:val="24"/>
        </w:rPr>
        <w:t xml:space="preserve"> – 1 об’єкт бер’єрний,3 – частково бар</w:t>
      </w:r>
      <w:r>
        <w:rPr>
          <w:rFonts w:ascii="Calibri" w:hAnsi="Calibri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єрні.</w:t>
      </w:r>
    </w:p>
    <w:p w:rsidR="00F92BF2" w:rsidRPr="002B0EB4" w:rsidRDefault="00F92BF2" w:rsidP="00F92BF2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Із 41 закладу освіти: 20 – бар’єрні; 15- частково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</w:t>
      </w:r>
      <w:r>
        <w:rPr>
          <w:rFonts w:ascii="Calibri" w:hAnsi="Calibri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єрні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6 -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безбар'єрні</w:t>
      </w:r>
      <w:proofErr w:type="spellEnd"/>
    </w:p>
    <w:p w:rsidR="00F92BF2" w:rsidRPr="00DA3694" w:rsidRDefault="00F92BF2" w:rsidP="00F92BF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659"/>
        <w:gridCol w:w="2173"/>
        <w:gridCol w:w="2325"/>
        <w:gridCol w:w="2527"/>
        <w:gridCol w:w="1480"/>
        <w:gridCol w:w="1463"/>
      </w:tblGrid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ab/>
              <w:t>№ з/п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дреса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Інформація про доступність об’єкта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8" w:type="dxa"/>
            <w:gridSpan w:val="5"/>
          </w:tcPr>
          <w:p w:rsidR="00F92BF2" w:rsidRPr="00C454AD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AD">
              <w:rPr>
                <w:rFonts w:ascii="Times New Roman" w:hAnsi="Times New Roman" w:cs="Times New Roman"/>
                <w:b/>
                <w:sz w:val="24"/>
                <w:szCs w:val="24"/>
              </w:rPr>
              <w:t>Заклади охорони здоров’я</w:t>
            </w: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КНП «Калуська ЦРЛ»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Медична,6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(будівлі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листопад 2020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КНП «Калуська міська лікарня Калуської міської ради»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Каракая,25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(будівлі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истопад 2020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КНП «Стоматологічна поліклініка Калуської міської ради»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Грушевського,88-А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Амбулаторія загальної практики сімейної медицини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Вул. Коновальця,19, с.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Амбулаторія загальної практики сімейної медицини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С.Бандери,14, с. Копанки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Амбулаторія загальної практики сімейної медицини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Вул. Панаса Мирного, с.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Студінка</w:t>
            </w:r>
            <w:proofErr w:type="spellEnd"/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Амбулаторія загальної практики сімейної медицини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Стрільців,2, с. Кропивник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Амбулаторія загальної практики сімейної медицини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Вул. Шевченка,45, с.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Мислів</w:t>
            </w:r>
            <w:proofErr w:type="spellEnd"/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КНП «Калуський міський центр первинної медико-санітарної допомоги Калуської міської ради»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Аул. Б.Хмельницького,32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Приміщення педіатричного відділення №2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Дзвонарська,5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Приміщення педіатричного відділення №1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Будівельників,3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жіночої консультації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Лесі Українки,15-а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будівель і споруд. Основні положення».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25.02.2021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10627" w:type="dxa"/>
            <w:gridSpan w:val="6"/>
          </w:tcPr>
          <w:p w:rsidR="00F92BF2" w:rsidRPr="00C454AD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Установи пенсійного фонду</w:t>
            </w: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Пенсійний фонд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Біласа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і Данилишина,2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(кнопка виклику працівника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ідділу обслуговування громадян (сервісного центру) знаходиться при вході у приміщення).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10627" w:type="dxa"/>
            <w:gridSpan w:val="6"/>
          </w:tcPr>
          <w:p w:rsidR="00F92BF2" w:rsidRPr="00C454AD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AD">
              <w:rPr>
                <w:rFonts w:ascii="Times New Roman" w:hAnsi="Times New Roman" w:cs="Times New Roman"/>
                <w:b/>
                <w:sz w:val="24"/>
                <w:szCs w:val="24"/>
              </w:rPr>
              <w:t>Суд</w:t>
            </w: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міськрайонний суд Івано-Франківської області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Молодіжна,10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бар'єрний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10627" w:type="dxa"/>
            <w:gridSpan w:val="6"/>
          </w:tcPr>
          <w:p w:rsidR="00F92BF2" w:rsidRPr="00C454AD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A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Структурні підрозділи з питань соціального захисту населення</w:t>
            </w: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Калуської міської ради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ул. Євшана,9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На вході наявна кнопка виклику для осіб з інвалідністю, наявний заїзний місток з поручнями до входу будівлі, наявна заїзна естакада для виїзду на перший поверх з сторонньою допомогою, наявні поручні на сходах до першого поверху та всіх наступних поверхів будівлі. Капремонт наявних санвузлів з заміною кабінок,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техніки, дверей, вікон, об’єкт частково бар'єрний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Кулуської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Степана Бандери,18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Об’єкт бар'єрний (немає зручних підходів, входів/виходів, пандусів, спеціально облаштованих місць, туалетних кімнат, спеціальних підйомників та ліфта для осіб з інвалідністю)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F92BF2" w:rsidRPr="00AA6FB3" w:rsidRDefault="00F92BF2" w:rsidP="006813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6FB3">
              <w:rPr>
                <w:rFonts w:ascii="Times New Roman" w:hAnsi="Times New Roman" w:cs="Times New Roman"/>
                <w:sz w:val="24"/>
                <w:szCs w:val="24"/>
              </w:rPr>
              <w:t xml:space="preserve">ериторіальний центр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AA6FB3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обслуговування  </w:t>
            </w:r>
          </w:p>
          <w:p w:rsidR="00F92BF2" w:rsidRPr="00AA6FB3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ул. Євшана,9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На вході наявна кнопка виклику для осіб з інвалідністю, наявний заїзний місток з поручнями 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входу будівлі, наявна заїзна естакада для виїзду на перший поверх з сторонньою допомогою, наявні поручні на сходах до першого поверху та всіх наступних поверхів будівлі. Капремонт наявних санвузлів з заміною кабінок,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техніки, дверей, вікон, об’єкт частково бар'єрний 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73" w:type="dxa"/>
          </w:tcPr>
          <w:p w:rsidR="00F92BF2" w:rsidRPr="00AA6FB3" w:rsidRDefault="00F92BF2" w:rsidP="006813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FB3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соціальних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AA6FB3">
              <w:rPr>
                <w:rFonts w:ascii="Times New Roman" w:hAnsi="Times New Roman" w:cs="Times New Roman"/>
                <w:sz w:val="24"/>
                <w:szCs w:val="24"/>
              </w:rPr>
              <w:t xml:space="preserve">служб для сім’ї, дітей та молоді </w:t>
            </w:r>
          </w:p>
          <w:p w:rsidR="00F92BF2" w:rsidRPr="00AA6FB3" w:rsidRDefault="00F92BF2" w:rsidP="006813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Пушкіна,9-а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Частково бар’єрний (пандус не відповідає вимогам ДБН)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10627" w:type="dxa"/>
            <w:gridSpan w:val="6"/>
          </w:tcPr>
          <w:p w:rsidR="00F92BF2" w:rsidRPr="00C454AD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AD">
              <w:rPr>
                <w:rFonts w:ascii="Times New Roman" w:hAnsi="Times New Roman" w:cs="Times New Roman"/>
                <w:b/>
                <w:sz w:val="24"/>
                <w:szCs w:val="24"/>
              </w:rPr>
              <w:t>ЦНАП</w:t>
            </w: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Б.Хмельницького,52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має часткову </w:t>
            </w:r>
            <w:proofErr w:type="spellStart"/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і пандус, ширину всіх дверей або більшості 80-89 сантиметрів, є одноповерховим, наявна одна доступна для осіб, які пересуваються на кріслах колісних, санітарно-гігієнічна кімната із допоміжними поручнями біля унітазу, що призначена для відвідувачів.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10627" w:type="dxa"/>
            <w:gridSpan w:val="6"/>
          </w:tcPr>
          <w:p w:rsidR="00F92BF2" w:rsidRPr="00C454AD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4AD">
              <w:rPr>
                <w:rFonts w:ascii="Times New Roman" w:hAnsi="Times New Roman" w:cs="Times New Roman"/>
                <w:b/>
                <w:sz w:val="24"/>
                <w:szCs w:val="24"/>
              </w:rPr>
              <w:t>Заклади освіти</w:t>
            </w: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Калуський ліцей імені Дмитра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Бахматюка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Біласа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і Данилишина,15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має часткову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. Людина, яка є незрячою може самостійно зайти на об'єкт та вільно в 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ньому пересуватися. Такий об’єкт має вхідну групу в рівень з підлогою, пандус, ширину всіх дверей 80-89 см.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31.08.2021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№1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Івана-Франка,6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Об’єкт є бар'єрним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№2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Пр. Лесі Українки,11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Об’єкт є бар’єрним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№3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Дзвонарська,4</w:t>
            </w:r>
          </w:p>
        </w:tc>
        <w:tc>
          <w:tcPr>
            <w:tcW w:w="2527" w:type="dxa"/>
          </w:tcPr>
          <w:p w:rsidR="00F92BF2" w:rsidRPr="001F385D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85D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1F385D">
              <w:rPr>
                <w:rFonts w:ascii="Calibri" w:hAnsi="Calibri" w:cs="Times New Roman"/>
                <w:b/>
                <w:sz w:val="24"/>
                <w:szCs w:val="24"/>
              </w:rPr>
              <w:t>'</w:t>
            </w:r>
            <w:r w:rsidRPr="001F3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єкт є частково </w:t>
            </w:r>
            <w:proofErr w:type="spellStart"/>
            <w:r w:rsidRPr="001F385D">
              <w:rPr>
                <w:rFonts w:ascii="Times New Roman" w:hAnsi="Times New Roman" w:cs="Times New Roman"/>
                <w:b/>
                <w:sz w:val="24"/>
                <w:szCs w:val="24"/>
              </w:rPr>
              <w:t>безбарєрний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№4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Є.Коновальця,4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Об’єкт є бар’єрним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№5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Хіміків,20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єкт є 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№6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Стуса,13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Об’єкт є бар’єрним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№7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Євшана,17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Калуська гімназія №8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Івано-Франківська,78</w:t>
            </w:r>
          </w:p>
        </w:tc>
        <w:tc>
          <w:tcPr>
            <w:tcW w:w="2527" w:type="dxa"/>
          </w:tcPr>
          <w:p w:rsidR="00F92BF2" w:rsidRPr="001F385D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85D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 xml:space="preserve">об’єкт є </w:t>
            </w:r>
            <w:proofErr w:type="spellStart"/>
            <w:r w:rsidRPr="001F385D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безбар’єрний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Калуська гімназія №9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Йосипа Сліпого,30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85D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 xml:space="preserve">об’єкт є </w:t>
            </w:r>
            <w:proofErr w:type="spellStart"/>
            <w:r w:rsidRPr="001F385D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безбар’єрний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№10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Євшана,11</w:t>
            </w:r>
          </w:p>
        </w:tc>
        <w:tc>
          <w:tcPr>
            <w:tcW w:w="2527" w:type="dxa"/>
          </w:tcPr>
          <w:p w:rsidR="00F92BF2" w:rsidRPr="001F385D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85D">
              <w:rPr>
                <w:rFonts w:ascii="Times New Roman" w:hAnsi="Times New Roman" w:cs="Times New Roman"/>
                <w:b/>
                <w:sz w:val="24"/>
                <w:szCs w:val="24"/>
              </w:rPr>
              <w:t>Об’єкт є бар’єрний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Калуська початкова школа № 11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Біласа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і Данилишина буд.15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Вістівська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lastRenderedPageBreak/>
              <w:t>с.Вістова,вул</w:t>
            </w:r>
            <w:proofErr w:type="spellEnd"/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. Січових Стрільців,70</w:t>
            </w:r>
          </w:p>
        </w:tc>
        <w:tc>
          <w:tcPr>
            <w:tcW w:w="2527" w:type="dxa"/>
          </w:tcPr>
          <w:p w:rsidR="00F92BF2" w:rsidRPr="00D751FD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Об’єкт частково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Pr="00D751FD">
              <w:rPr>
                <w:rFonts w:ascii="Times New Roman" w:hAnsi="Times New Roman" w:cs="Times New Roman"/>
                <w:b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Кропивницька гімназія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Шевченка,2</w:t>
            </w:r>
          </w:p>
        </w:tc>
        <w:tc>
          <w:tcPr>
            <w:tcW w:w="2527" w:type="dxa"/>
          </w:tcPr>
          <w:p w:rsidR="00F92BF2" w:rsidRPr="00D751FD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1FD">
              <w:rPr>
                <w:rFonts w:ascii="Times New Roman" w:hAnsi="Times New Roman" w:cs="Times New Roman"/>
                <w:b/>
                <w:sz w:val="24"/>
                <w:szCs w:val="24"/>
              </w:rPr>
              <w:t>Об’єкт бар’єрний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Мостищенська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філія Калуського ліцею №10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Робітнича,13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FD">
              <w:rPr>
                <w:rFonts w:ascii="Times New Roman" w:hAnsi="Times New Roman" w:cs="Times New Roman"/>
                <w:b/>
                <w:sz w:val="24"/>
                <w:szCs w:val="24"/>
              </w:rPr>
              <w:t>Об’єкт частково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1FD">
              <w:rPr>
                <w:rFonts w:ascii="Times New Roman" w:hAnsi="Times New Roman" w:cs="Times New Roman"/>
                <w:b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51FD">
              <w:rPr>
                <w:rFonts w:ascii="Times New Roman" w:hAnsi="Times New Roman" w:cs="Times New Roman"/>
                <w:b/>
                <w:sz w:val="24"/>
                <w:szCs w:val="24"/>
              </w:rPr>
              <w:t>бар’єрний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Сівка-Калуська гімназія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Шкільна,2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FD">
              <w:rPr>
                <w:rFonts w:ascii="Times New Roman" w:hAnsi="Times New Roman" w:cs="Times New Roman"/>
                <w:b/>
                <w:sz w:val="24"/>
                <w:szCs w:val="24"/>
              </w:rPr>
              <w:t>Об’єкт частково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Pr="00D751FD">
              <w:rPr>
                <w:rFonts w:ascii="Times New Roman" w:hAnsi="Times New Roman" w:cs="Times New Roman"/>
                <w:b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Студінська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Шевченка,2 а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FD">
              <w:rPr>
                <w:rFonts w:ascii="Times New Roman" w:hAnsi="Times New Roman" w:cs="Times New Roman"/>
                <w:b/>
                <w:sz w:val="24"/>
                <w:szCs w:val="24"/>
              </w:rPr>
              <w:t>Об’єкт частково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1FD">
              <w:rPr>
                <w:rFonts w:ascii="Times New Roman" w:hAnsi="Times New Roman" w:cs="Times New Roman"/>
                <w:b/>
                <w:sz w:val="24"/>
                <w:szCs w:val="24"/>
              </w:rPr>
              <w:t>безбар’єрний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Боднарівський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ліцей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Шевченка,14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Голинський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ліцей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Коновальця,13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Пійлівський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ліцей Калуської міської ради</w:t>
            </w:r>
          </w:p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Грушевського,85</w:t>
            </w:r>
          </w:p>
        </w:tc>
        <w:tc>
          <w:tcPr>
            <w:tcW w:w="2527" w:type="dxa"/>
          </w:tcPr>
          <w:p w:rsidR="00F92BF2" w:rsidRPr="00BF54D2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Об’єкт ч</w:t>
            </w:r>
            <w:r w:rsidRPr="00BF5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астково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Pr="00BF54D2">
              <w:rPr>
                <w:rFonts w:ascii="Times New Roman" w:hAnsi="Times New Roman" w:cs="Times New Roman"/>
                <w:b/>
                <w:sz w:val="24"/>
                <w:szCs w:val="24"/>
              </w:rPr>
              <w:t>бар</w:t>
            </w:r>
            <w:r w:rsidRPr="00BF54D2">
              <w:rPr>
                <w:rFonts w:ascii="Calibri" w:hAnsi="Calibri" w:cs="Times New Roman"/>
                <w:b/>
                <w:sz w:val="24"/>
                <w:szCs w:val="24"/>
              </w:rPr>
              <w:t>'</w:t>
            </w:r>
            <w:r w:rsidRPr="00BF54D2">
              <w:rPr>
                <w:rFonts w:ascii="Times New Roman" w:hAnsi="Times New Roman" w:cs="Times New Roman"/>
                <w:b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Ріп'янський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Шевченка,97</w:t>
            </w:r>
          </w:p>
        </w:tc>
        <w:tc>
          <w:tcPr>
            <w:tcW w:w="2527" w:type="dxa"/>
          </w:tcPr>
          <w:p w:rsidR="00F92BF2" w:rsidRPr="00A543E9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3E9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A543E9">
              <w:rPr>
                <w:rStyle w:val="st82"/>
                <w:rFonts w:ascii="Calibri" w:hAnsi="Calibri" w:cs="Times New Roman"/>
                <w:b/>
                <w:sz w:val="24"/>
                <w:szCs w:val="24"/>
              </w:rPr>
              <w:t>'</w:t>
            </w:r>
            <w:r w:rsidRPr="00A543E9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єкт бар’єрний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Тужилівський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Якубіва,5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 w:rsidRPr="00A543E9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A543E9">
              <w:rPr>
                <w:rStyle w:val="st82"/>
                <w:rFonts w:ascii="Calibri" w:hAnsi="Calibri" w:cs="Times New Roman"/>
                <w:b/>
                <w:sz w:val="24"/>
                <w:szCs w:val="24"/>
              </w:rPr>
              <w:t>'</w:t>
            </w:r>
            <w:r w:rsidRPr="00A543E9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єкт</w:t>
            </w:r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 xml:space="preserve"> частково </w:t>
            </w:r>
            <w:proofErr w:type="spellStart"/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безбар’єрний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Копанківський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Копанки, 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С.Бандери,5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 w:rsidRPr="00A543E9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A543E9">
              <w:rPr>
                <w:rStyle w:val="st82"/>
                <w:rFonts w:ascii="Calibri" w:hAnsi="Calibri" w:cs="Times New Roman"/>
                <w:b/>
                <w:sz w:val="24"/>
                <w:szCs w:val="24"/>
              </w:rPr>
              <w:t>'</w:t>
            </w:r>
            <w:r w:rsidRPr="00A543E9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єкт</w:t>
            </w:r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 xml:space="preserve"> частково </w:t>
            </w:r>
            <w:proofErr w:type="spellStart"/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безбар’єрний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 «Льонок»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С. Боднарів, вул. С. Бандери,6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 w:rsidRPr="00C24308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24308">
              <w:rPr>
                <w:rStyle w:val="st82"/>
                <w:rFonts w:ascii="Calibri" w:hAnsi="Calibri" w:cs="Times New Roman"/>
                <w:b/>
                <w:sz w:val="24"/>
                <w:szCs w:val="24"/>
              </w:rPr>
              <w:t>'</w:t>
            </w:r>
            <w:r w:rsidRPr="00C24308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єкт бар’єрний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10.09.2021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 «Малятко»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вул. Шевченка,17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 w:rsidRPr="00C24308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24308">
              <w:rPr>
                <w:rStyle w:val="st82"/>
                <w:rFonts w:ascii="Calibri" w:hAnsi="Calibri" w:cs="Times New Roman"/>
                <w:b/>
                <w:sz w:val="24"/>
                <w:szCs w:val="24"/>
              </w:rPr>
              <w:t>'</w:t>
            </w:r>
            <w:r w:rsidRPr="00C24308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єкт бар’єрний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 «Пролісок»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С. Кропивник, вул. Івана Франка,157</w:t>
            </w:r>
          </w:p>
        </w:tc>
        <w:tc>
          <w:tcPr>
            <w:tcW w:w="2527" w:type="dxa"/>
          </w:tcPr>
          <w:p w:rsidR="00F92BF2" w:rsidRPr="00793B0E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793B0E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93B0E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793B0E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єкт бар’єрний</w:t>
            </w:r>
          </w:p>
        </w:tc>
        <w:tc>
          <w:tcPr>
            <w:tcW w:w="1480" w:type="dxa"/>
          </w:tcPr>
          <w:p w:rsidR="00F92BF2" w:rsidRPr="00793B0E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E"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 «Сонечко»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С. Копанки, вул. В. Івасюка,13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Об’єкт бар’єрний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ЗДО 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Барвінок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Довженка,7</w:t>
            </w:r>
          </w:p>
        </w:tc>
        <w:tc>
          <w:tcPr>
            <w:tcW w:w="2527" w:type="dxa"/>
          </w:tcPr>
          <w:p w:rsidR="00F92BF2" w:rsidRPr="00C24308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 w:rsidRPr="00C24308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24308">
              <w:rPr>
                <w:rStyle w:val="st82"/>
                <w:rFonts w:ascii="Calibri" w:hAnsi="Calibri" w:cs="Times New Roman"/>
                <w:b/>
                <w:sz w:val="24"/>
                <w:szCs w:val="24"/>
              </w:rPr>
              <w:t>'</w:t>
            </w:r>
            <w:r w:rsidRPr="00C24308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єкт бар’єрний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 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Каракая,1</w:t>
            </w:r>
          </w:p>
        </w:tc>
        <w:tc>
          <w:tcPr>
            <w:tcW w:w="2527" w:type="dxa"/>
          </w:tcPr>
          <w:p w:rsidR="00F92BF2" w:rsidRPr="00A54DF2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54DF2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б’єкт є бар</w:t>
            </w:r>
            <w:r w:rsidRPr="00A54DF2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A54DF2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 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Зірочка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Б.Хмельницького,9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 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Золотий ключи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к»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Пр. Шкільний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 xml:space="preserve">Об’єкт </w:t>
            </w:r>
            <w:proofErr w:type="spellStart"/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безбар'єрний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 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Коновальця,10</w:t>
            </w:r>
          </w:p>
        </w:tc>
        <w:tc>
          <w:tcPr>
            <w:tcW w:w="2527" w:type="dxa"/>
          </w:tcPr>
          <w:p w:rsidR="00F92BF2" w:rsidRPr="00C454AD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C454AD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Вересень 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 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Ластівк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а»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Б.Хмельницького,28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бар’єрним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«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Пр. Лесі Українки,7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бар’єрним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10 вересня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 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Струмочок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Підвальна,34-а</w:t>
            </w:r>
          </w:p>
        </w:tc>
        <w:tc>
          <w:tcPr>
            <w:tcW w:w="2527" w:type="dxa"/>
          </w:tcPr>
          <w:p w:rsidR="00F92BF2" w:rsidRPr="00BF54D2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Об’єкт ч</w:t>
            </w:r>
            <w:r w:rsidRPr="00BF54D2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 xml:space="preserve">астково </w:t>
            </w:r>
            <w:proofErr w:type="spellStart"/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Pr="00BF54D2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 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Чебурашк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а»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Чорновола,31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Об’єкт ч</w:t>
            </w:r>
            <w:r w:rsidRPr="00BF54D2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 xml:space="preserve">астково </w:t>
            </w:r>
            <w:proofErr w:type="spellStart"/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Pr="00BF54D2"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10 Вересня 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 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Червона шапочка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Стрільців,31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Об’єкт бар</w:t>
            </w:r>
            <w:r>
              <w:rPr>
                <w:rStyle w:val="st82"/>
                <w:rFonts w:ascii="Calibri" w:hAnsi="Calibri" w:cs="Times New Roman"/>
                <w:b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 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Ягідка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Б.Хмельницького,44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Об’єкт бар</w:t>
            </w:r>
            <w:r>
              <w:rPr>
                <w:rStyle w:val="st82"/>
                <w:rFonts w:ascii="Calibri" w:hAnsi="Calibri" w:cs="Times New Roman"/>
                <w:b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  <w:t>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ДЮСШ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Івана Франка,6-а</w:t>
            </w:r>
          </w:p>
        </w:tc>
        <w:tc>
          <w:tcPr>
            <w:tcW w:w="2527" w:type="dxa"/>
          </w:tcPr>
          <w:p w:rsidR="00F92BF2" w:rsidRPr="00003A57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003A57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 w:rsidRPr="00003A57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003A57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ЦХТДЮМ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Сівецька,2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має часткову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бар'єрність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16.08.2021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Кімнат</w:t>
            </w:r>
            <w:proofErr w:type="spellEnd"/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школяра</w:t>
            </w:r>
          </w:p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Пр.. Лесі Українки,9-а</w:t>
            </w:r>
          </w:p>
        </w:tc>
        <w:tc>
          <w:tcPr>
            <w:tcW w:w="2527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має часткову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бар'єрність</w:t>
            </w:r>
            <w:proofErr w:type="spellEnd"/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09.09.2021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F2" w:rsidRPr="00DA3694" w:rsidTr="00681352">
        <w:tc>
          <w:tcPr>
            <w:tcW w:w="659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73" w:type="dxa"/>
          </w:tcPr>
          <w:p w:rsidR="00F92BF2" w:rsidRPr="00DA3694" w:rsidRDefault="00F92BF2" w:rsidP="00681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ЦНТТУМ</w:t>
            </w:r>
          </w:p>
        </w:tc>
        <w:tc>
          <w:tcPr>
            <w:tcW w:w="2325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Вул.. Костельна,10</w:t>
            </w:r>
          </w:p>
        </w:tc>
        <w:tc>
          <w:tcPr>
            <w:tcW w:w="2527" w:type="dxa"/>
          </w:tcPr>
          <w:p w:rsidR="00F92BF2" w:rsidRPr="00074A00" w:rsidRDefault="00F92BF2" w:rsidP="00681352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</w:t>
            </w:r>
            <w:r w:rsidRPr="00074A00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Pr="00074A00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074A00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80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1463" w:type="dxa"/>
          </w:tcPr>
          <w:p w:rsidR="00F92BF2" w:rsidRPr="00DA3694" w:rsidRDefault="00F92BF2" w:rsidP="006813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F2" w:rsidRPr="00DA3694" w:rsidRDefault="00F92BF2" w:rsidP="00F92B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207C7" w:rsidRDefault="005A37E9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F2"/>
    <w:rsid w:val="00340559"/>
    <w:rsid w:val="003B7210"/>
    <w:rsid w:val="004041EB"/>
    <w:rsid w:val="00501065"/>
    <w:rsid w:val="005929FE"/>
    <w:rsid w:val="005A37E9"/>
    <w:rsid w:val="00673AA7"/>
    <w:rsid w:val="006A22DC"/>
    <w:rsid w:val="006D23EA"/>
    <w:rsid w:val="00C834CE"/>
    <w:rsid w:val="00CE13ED"/>
    <w:rsid w:val="00D54C4C"/>
    <w:rsid w:val="00EB1CBE"/>
    <w:rsid w:val="00F92BF2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FABF"/>
  <w15:chartTrackingRefBased/>
  <w15:docId w15:val="{78F49F82-192D-41E1-9BD0-43EADD35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BF2"/>
    <w:pPr>
      <w:ind w:left="720"/>
      <w:contextualSpacing/>
    </w:pPr>
  </w:style>
  <w:style w:type="table" w:styleId="a4">
    <w:name w:val="Table Grid"/>
    <w:basedOn w:val="a1"/>
    <w:uiPriority w:val="39"/>
    <w:rsid w:val="00F9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F92BF2"/>
    <w:rPr>
      <w:color w:val="000000"/>
    </w:rPr>
  </w:style>
  <w:style w:type="character" w:customStyle="1" w:styleId="st82">
    <w:name w:val="st82"/>
    <w:uiPriority w:val="99"/>
    <w:rsid w:val="00F92BF2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6221</Words>
  <Characters>3547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2</cp:revision>
  <dcterms:created xsi:type="dcterms:W3CDTF">2023-04-21T09:34:00Z</dcterms:created>
  <dcterms:modified xsi:type="dcterms:W3CDTF">2023-04-21T13:31:00Z</dcterms:modified>
</cp:coreProperties>
</file>