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9F" w:rsidRPr="00EF6D62" w:rsidRDefault="00EF6D62" w:rsidP="00EF6D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C0D9F" w:rsidRPr="00EF6D62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C0D9F" w:rsidRPr="00EF6D62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>.2022</w:t>
      </w:r>
      <w:r w:rsidR="008F21DB" w:rsidRPr="00EF6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F21DB" w:rsidRPr="00EF6D62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 в електр</w:t>
      </w:r>
      <w:bookmarkStart w:id="0" w:name="_GoBack"/>
      <w:bookmarkEnd w:id="0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онній системі публічних </w:t>
      </w:r>
      <w:proofErr w:type="spellStart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A936E9" w:rsidRPr="00EF6D62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» оголошено відкриті торги за предметом </w:t>
      </w:r>
      <w:bookmarkStart w:id="1" w:name="_Hlk75960080"/>
      <w:bookmarkStart w:id="2" w:name="_Hlk75960696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C0D9F" w:rsidRPr="00FB353A">
        <w:rPr>
          <w:rFonts w:ascii="Times New Roman" w:hAnsi="Times New Roman" w:cs="Times New Roman"/>
          <w:sz w:val="24"/>
          <w:szCs w:val="24"/>
          <w:lang w:val="uk-UA"/>
        </w:rPr>
        <w:t>Електрична енергія (електрична енергія) ДК 021:2015: 09310000-5</w:t>
      </w:r>
      <w:r w:rsidR="00E6464C" w:rsidRPr="00FB353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1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A7F" w:rsidRPr="00182A7F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182A7F" w:rsidRPr="00182A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ID</w:t>
      </w:r>
      <w:r w:rsidR="00182A7F" w:rsidRPr="003365C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:</w:t>
      </w:r>
      <w:r w:rsidR="00182A7F" w:rsidRPr="00182A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182A7F" w:rsidRPr="00182A7F">
        <w:rPr>
          <w:rStyle w:val="tendertuid2nhc4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UA</w:t>
      </w:r>
      <w:r w:rsidR="00182A7F" w:rsidRPr="003365CC">
        <w:rPr>
          <w:rStyle w:val="tendertuid2nhc4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-2022-12-09-020766-</w:t>
      </w:r>
      <w:r w:rsidR="00182A7F" w:rsidRPr="00182A7F">
        <w:rPr>
          <w:rStyle w:val="tendertuid2nhc4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A936E9" w:rsidRPr="00182A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  <w:bookmarkEnd w:id="2"/>
      <w:r w:rsidR="00A936E9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– очікуваною вартістю </w:t>
      </w:r>
      <w:r w:rsidR="0000077C">
        <w:rPr>
          <w:rFonts w:ascii="Times New Roman" w:hAnsi="Times New Roman" w:cs="Times New Roman"/>
          <w:sz w:val="24"/>
          <w:szCs w:val="24"/>
          <w:lang w:val="uk-UA"/>
        </w:rPr>
        <w:t>367 70</w:t>
      </w:r>
      <w:r w:rsidR="00AC0D9F" w:rsidRPr="00EF6D62">
        <w:rPr>
          <w:rFonts w:ascii="Times New Roman" w:hAnsi="Times New Roman" w:cs="Times New Roman"/>
          <w:sz w:val="24"/>
          <w:szCs w:val="24"/>
          <w:lang w:val="uk-UA"/>
        </w:rPr>
        <w:t>.50</w:t>
      </w:r>
      <w:r w:rsidR="00E6464C" w:rsidRPr="00182A7F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A936E9" w:rsidRPr="00182A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36E9" w:rsidRPr="00EF6D62" w:rsidRDefault="00EF6D62" w:rsidP="00EF6D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936E9" w:rsidRPr="00EF6D62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AC0D9F" w:rsidRPr="00EF6D62">
        <w:rPr>
          <w:rFonts w:ascii="Times New Roman" w:hAnsi="Times New Roman" w:cs="Times New Roman"/>
          <w:sz w:val="24"/>
          <w:szCs w:val="24"/>
          <w:lang w:val="uk-UA"/>
        </w:rPr>
        <w:t xml:space="preserve">«Електрична енергія (електрична енергія) ДК 021:2015: 09310000-5)» </w:t>
      </w:r>
      <w:r w:rsidR="00182A7F" w:rsidRPr="00FB353A">
        <w:rPr>
          <w:rFonts w:ascii="Times New Roman" w:hAnsi="Times New Roman" w:cs="Times New Roman"/>
          <w:sz w:val="24"/>
          <w:szCs w:val="24"/>
          <w:lang w:val="uk-UA"/>
        </w:rPr>
        <w:t xml:space="preserve">)» </w:t>
      </w:r>
      <w:r w:rsidR="00182A7F" w:rsidRPr="00182A7F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182A7F" w:rsidRPr="00182A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ID</w:t>
      </w:r>
      <w:r w:rsidR="00182A7F" w:rsidRPr="00182A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:</w:t>
      </w:r>
      <w:r w:rsidR="00182A7F" w:rsidRPr="00182A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182A7F" w:rsidRPr="00182A7F">
        <w:rPr>
          <w:rStyle w:val="tendertuid2nhc4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UA</w:t>
      </w:r>
      <w:r w:rsidR="00182A7F" w:rsidRPr="00182A7F">
        <w:rPr>
          <w:rStyle w:val="tendertuid2nhc4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-2022-12-09-020766-</w:t>
      </w:r>
      <w:r w:rsidR="00182A7F" w:rsidRPr="00182A7F">
        <w:rPr>
          <w:rStyle w:val="tendertuid2nhc4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182A7F" w:rsidRPr="00182A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  <w:r w:rsidR="00182A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A936E9" w:rsidRPr="00EF6D62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:rsidR="00A936E9" w:rsidRPr="00EF6D62" w:rsidRDefault="00A936E9" w:rsidP="00EF6D6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6E9" w:rsidRDefault="00A936E9" w:rsidP="00EF6D62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EF6D62">
        <w:rPr>
          <w:b/>
        </w:rPr>
        <w:t>Обґрунтування розміру бюджетного призначення:</w:t>
      </w:r>
    </w:p>
    <w:p w:rsidR="00EF6D62" w:rsidRPr="00EF6D62" w:rsidRDefault="00EF6D62" w:rsidP="00EF6D62">
      <w:pPr>
        <w:pStyle w:val="a4"/>
        <w:tabs>
          <w:tab w:val="left" w:pos="426"/>
        </w:tabs>
        <w:spacing w:before="0" w:beforeAutospacing="0" w:after="0" w:afterAutospacing="0"/>
        <w:ind w:left="284"/>
        <w:contextualSpacing/>
        <w:jc w:val="both"/>
        <w:rPr>
          <w:b/>
        </w:rPr>
      </w:pPr>
    </w:p>
    <w:p w:rsidR="001E3DA7" w:rsidRPr="00EF6D62" w:rsidRDefault="00EF6D62" w:rsidP="00EF6D62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t xml:space="preserve">     </w:t>
      </w:r>
      <w:r w:rsidR="00161FB1" w:rsidRPr="00EF6D62">
        <w:t>Розмір бюдж</w:t>
      </w:r>
      <w:r w:rsidR="001E3DA7" w:rsidRPr="00EF6D62">
        <w:t>етного призначення визначений  програмою 0210160 «Керівництво і</w:t>
      </w:r>
    </w:p>
    <w:p w:rsidR="001E3DA7" w:rsidRPr="00EF6D62" w:rsidRDefault="001E3DA7" w:rsidP="00EF6D62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</w:pPr>
      <w:r w:rsidRPr="00EF6D62">
        <w:t>управління у відповідній сфері у містах (місті Києві), селищах, селах, територіальних</w:t>
      </w:r>
    </w:p>
    <w:p w:rsidR="00161FB1" w:rsidRDefault="001E3DA7" w:rsidP="00EF6D62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</w:pPr>
      <w:r w:rsidRPr="00EF6D62">
        <w:t>громадах» в межах прогнозованих кошторисних призначень на 2023 рік.</w:t>
      </w:r>
    </w:p>
    <w:p w:rsidR="00FB353A" w:rsidRPr="00EF6D62" w:rsidRDefault="00FB353A" w:rsidP="00EF6D62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t>367711,5</w:t>
      </w:r>
      <w:r w:rsidRPr="00FB353A">
        <w:t>0 грн. розмір бюджетного призначення, визначений в</w:t>
      </w:r>
      <w:r>
        <w:t>ідповідно до потреби на 2023рік.</w:t>
      </w:r>
    </w:p>
    <w:p w:rsidR="001E3DA7" w:rsidRPr="00EF6D62" w:rsidRDefault="001E3DA7" w:rsidP="00EF6D62">
      <w:pPr>
        <w:pStyle w:val="a4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:rsidR="00A936E9" w:rsidRPr="00EF6D62" w:rsidRDefault="00A936E9" w:rsidP="00EF6D62">
      <w:pPr>
        <w:pStyle w:val="a4"/>
        <w:numPr>
          <w:ilvl w:val="0"/>
          <w:numId w:val="1"/>
        </w:numPr>
        <w:tabs>
          <w:tab w:val="left" w:pos="360"/>
          <w:tab w:val="left" w:pos="426"/>
        </w:tabs>
        <w:spacing w:before="0" w:beforeAutospacing="0" w:after="0" w:afterAutospacing="0"/>
        <w:ind w:left="0" w:firstLine="284"/>
        <w:jc w:val="both"/>
        <w:rPr>
          <w:b/>
        </w:rPr>
      </w:pPr>
      <w:r w:rsidRPr="00EF6D62">
        <w:rPr>
          <w:b/>
        </w:rPr>
        <w:t>Обґрунтування очікуваної вартість предмета закупівлі:</w:t>
      </w:r>
    </w:p>
    <w:p w:rsidR="001E3DA7" w:rsidRPr="00EF6D62" w:rsidRDefault="001E3DA7" w:rsidP="00EF6D62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  <w:rPr>
          <w:b/>
        </w:rPr>
      </w:pPr>
    </w:p>
    <w:p w:rsidR="001E3DA7" w:rsidRPr="00FB353A" w:rsidRDefault="001E3DA7" w:rsidP="00FB353A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FB353A" w:rsidRPr="00FB353A" w:rsidRDefault="00FB353A" w:rsidP="00FB353A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</w:pPr>
      <w:r w:rsidRPr="00FB353A">
        <w:t>Визначається з урахуванням положень Примірної методики визначення очікуваної вартості предмета закупівлі, затвердженої наказом Уповноваженого органу від 18.02.2020 № 275 та обрахована відповідно до біржових котирувань (https://www.ueex.com.ua/exchange-quotations/electric-power/), індексів РДН та з врахуванням індексів сезонного коливання цін, рівня інфляції закладеного у держбюджеті на 2023 рік.</w:t>
      </w:r>
    </w:p>
    <w:p w:rsidR="00A936E9" w:rsidRPr="00EF6D62" w:rsidRDefault="00A936E9" w:rsidP="00EF6D6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6E9" w:rsidRPr="00EF6D62" w:rsidRDefault="00A936E9" w:rsidP="00EF6D62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EF6D62">
        <w:rPr>
          <w:b/>
        </w:rPr>
        <w:t>Технічні та якісні характеристики  предмета закупівлі :</w:t>
      </w:r>
    </w:p>
    <w:p w:rsidR="00A936E9" w:rsidRPr="00EF6D62" w:rsidRDefault="00A936E9" w:rsidP="00EF6D62">
      <w:pPr>
        <w:pStyle w:val="a4"/>
        <w:tabs>
          <w:tab w:val="left" w:pos="426"/>
        </w:tabs>
        <w:spacing w:before="0" w:beforeAutospacing="0" w:after="0" w:afterAutospacing="0"/>
        <w:contextualSpacing/>
        <w:jc w:val="both"/>
      </w:pPr>
    </w:p>
    <w:p w:rsidR="00A936E9" w:rsidRPr="00EF6D62" w:rsidRDefault="00EF6D62" w:rsidP="00EF6D6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D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Технічні та якісні характеристики</w:t>
      </w:r>
      <w:r w:rsidR="00FB353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F6D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предмету закупівлі повинні відповідати технічним умовам та</w:t>
      </w:r>
      <w:r w:rsidR="00FB353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F6D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стандартам, передбаченим законодавством України, діючим на період постачання Товару.</w:t>
      </w:r>
      <w:r w:rsidR="00FB353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F6D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Учасник повинен забезпечувати дотримання загальних та гарантованих стандартів якості постачання електричної енергії, в тому числі, що передбачені згідно Порядку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(надалі – Порядок 375), Закону України «Про ринок електричної енергії» (надалі - Закон про ринок), Правил роздрібного ринку електричної енергії (надалі - ПРРЕЕ), інших нормативно-правових актів.</w:t>
      </w:r>
    </w:p>
    <w:p w:rsidR="00A936E9" w:rsidRPr="00EF6D62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4253"/>
        <w:gridCol w:w="2696"/>
        <w:gridCol w:w="2895"/>
      </w:tblGrid>
      <w:tr w:rsidR="00A936E9" w:rsidRPr="00B35713" w:rsidTr="000063BF">
        <w:trPr>
          <w:trHeight w:val="354"/>
        </w:trPr>
        <w:tc>
          <w:tcPr>
            <w:tcW w:w="4253" w:type="dxa"/>
          </w:tcPr>
          <w:p w:rsidR="00A936E9" w:rsidRPr="00B35713" w:rsidRDefault="00A936E9" w:rsidP="000063B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highlight w:val="yellow"/>
                <w:lang w:val="uk-UA"/>
              </w:rPr>
            </w:pPr>
          </w:p>
          <w:p w:rsidR="00EF6D62" w:rsidRPr="00B35713" w:rsidRDefault="00EF6D62" w:rsidP="000063B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val="uk-UA"/>
              </w:rPr>
            </w:pPr>
          </w:p>
          <w:p w:rsidR="00A936E9" w:rsidRPr="00B35713" w:rsidRDefault="00EF6D62" w:rsidP="000063B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B35713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val="uk-UA"/>
              </w:rPr>
              <w:t xml:space="preserve">Начальник управління </w:t>
            </w:r>
          </w:p>
          <w:p w:rsidR="00EF6D62" w:rsidRPr="00B35713" w:rsidRDefault="00EF6D62" w:rsidP="000063B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6" w:type="dxa"/>
            <w:vAlign w:val="center"/>
          </w:tcPr>
          <w:p w:rsidR="00A936E9" w:rsidRPr="00B35713" w:rsidRDefault="00A936E9" w:rsidP="000063BF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936E9" w:rsidRPr="00B35713" w:rsidRDefault="00A936E9" w:rsidP="000063BF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936E9" w:rsidRPr="00B35713" w:rsidRDefault="00A936E9" w:rsidP="000063BF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936E9" w:rsidRPr="00B35713" w:rsidRDefault="00A936E9" w:rsidP="00B35713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95" w:type="dxa"/>
            <w:vAlign w:val="center"/>
          </w:tcPr>
          <w:p w:rsidR="00A936E9" w:rsidRPr="00B35713" w:rsidRDefault="00A936E9" w:rsidP="000063BF">
            <w:pPr>
              <w:tabs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3571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A936E9" w:rsidRPr="00B35713" w:rsidRDefault="00A936E9" w:rsidP="00EF6D62">
            <w:pPr>
              <w:tabs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B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EF6D62" w:rsidRPr="00B357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Ірина ЛЮКЛЯН</w:t>
            </w:r>
          </w:p>
        </w:tc>
      </w:tr>
    </w:tbl>
    <w:p w:rsidR="00A936E9" w:rsidRPr="00EF6D62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6E9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36E9" w:rsidRPr="00406944" w:rsidRDefault="00A936E9" w:rsidP="00A936E9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36E9" w:rsidRPr="00406944" w:rsidRDefault="00A936E9" w:rsidP="00A9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6E9" w:rsidRPr="00406944" w:rsidSect="003E7B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D"/>
    <w:rsid w:val="0000077C"/>
    <w:rsid w:val="000063BF"/>
    <w:rsid w:val="00161FB1"/>
    <w:rsid w:val="00182A7F"/>
    <w:rsid w:val="001E3DA7"/>
    <w:rsid w:val="0030125B"/>
    <w:rsid w:val="003365CC"/>
    <w:rsid w:val="003D72AE"/>
    <w:rsid w:val="003E7B9F"/>
    <w:rsid w:val="00417BD3"/>
    <w:rsid w:val="006226EB"/>
    <w:rsid w:val="00763A3B"/>
    <w:rsid w:val="0081259F"/>
    <w:rsid w:val="008F21DB"/>
    <w:rsid w:val="00947232"/>
    <w:rsid w:val="00A30FF5"/>
    <w:rsid w:val="00A936E9"/>
    <w:rsid w:val="00AC0D9F"/>
    <w:rsid w:val="00AC18BD"/>
    <w:rsid w:val="00AF48D1"/>
    <w:rsid w:val="00B35713"/>
    <w:rsid w:val="00B3736C"/>
    <w:rsid w:val="00B84103"/>
    <w:rsid w:val="00C978B5"/>
    <w:rsid w:val="00E6464C"/>
    <w:rsid w:val="00EF6D62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AAA2"/>
  <w15:docId w15:val="{52A5A4DD-8856-4DA9-9250-18487FF0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6E9"/>
    <w:rPr>
      <w:color w:val="0000FF"/>
      <w:u w:val="single"/>
    </w:rPr>
  </w:style>
  <w:style w:type="paragraph" w:styleId="a4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5"/>
    <w:uiPriority w:val="99"/>
    <w:unhideWhenUsed/>
    <w:qFormat/>
    <w:rsid w:val="00A9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4"/>
    <w:uiPriority w:val="99"/>
    <w:locked/>
    <w:rsid w:val="00A936E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unhideWhenUsed/>
    <w:rsid w:val="00A936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a"/>
    <w:link w:val="a8"/>
    <w:uiPriority w:val="34"/>
    <w:qFormat/>
    <w:rsid w:val="00161FB1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8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7"/>
    <w:uiPriority w:val="34"/>
    <w:locked/>
    <w:rsid w:val="00161FB1"/>
    <w:rPr>
      <w:rFonts w:ascii="Times New Roman" w:eastAsia="SimSun" w:hAnsi="Times New Roman" w:cs="Times New Roman"/>
      <w:sz w:val="24"/>
      <w:szCs w:val="24"/>
    </w:rPr>
  </w:style>
  <w:style w:type="character" w:customStyle="1" w:styleId="tendertuid2nhc4">
    <w:name w:val="tender__tuid__2nhc4"/>
    <w:basedOn w:val="a0"/>
    <w:rsid w:val="00182A7F"/>
  </w:style>
  <w:style w:type="paragraph" w:styleId="a9">
    <w:name w:val="Balloon Text"/>
    <w:basedOn w:val="a"/>
    <w:link w:val="aa"/>
    <w:uiPriority w:val="99"/>
    <w:semiHidden/>
    <w:unhideWhenUsed/>
    <w:rsid w:val="00B3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5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2022-12-14T11:13:00Z</cp:lastPrinted>
  <dcterms:created xsi:type="dcterms:W3CDTF">2022-12-14T11:25:00Z</dcterms:created>
  <dcterms:modified xsi:type="dcterms:W3CDTF">2022-12-14T11:25:00Z</dcterms:modified>
</cp:coreProperties>
</file>