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1A6D" w14:textId="0FD606B3" w:rsidR="00492CCA" w:rsidRDefault="00492CCA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0CBBC4C" w14:textId="43037D16" w:rsidR="000D492F" w:rsidRDefault="000D492F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7E287C9" w14:textId="48801F35" w:rsidR="000D492F" w:rsidRDefault="000D492F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63A1163" w14:textId="2CB9FAB4" w:rsidR="000D492F" w:rsidRDefault="000D492F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5D3890E" w14:textId="4F3DCABB" w:rsidR="000D492F" w:rsidRDefault="000D492F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0975076" w14:textId="29CB69FF" w:rsidR="000D492F" w:rsidRDefault="000D492F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BAE2E94" w14:textId="643DE6E3" w:rsidR="00C52144" w:rsidRDefault="00C52144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5CF8DDF" w14:textId="2E3D4C6C" w:rsidR="00C52144" w:rsidRDefault="00C52144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0A98828" w14:textId="77777777" w:rsidR="00E2207A" w:rsidRDefault="00E2207A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117B23" w14:textId="21ADA40A" w:rsidR="00C52144" w:rsidRDefault="00C52144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9369143" w14:textId="77777777" w:rsidR="00C52144" w:rsidRPr="00C2302B" w:rsidRDefault="00C52144" w:rsidP="00565E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0FE56E" w14:textId="77777777" w:rsidR="000D492F" w:rsidRDefault="000D492F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9"/>
      </w:tblGrid>
      <w:tr w:rsidR="000D492F" w14:paraId="5321E352" w14:textId="77777777" w:rsidTr="00C33F82">
        <w:tc>
          <w:tcPr>
            <w:tcW w:w="4886" w:type="dxa"/>
          </w:tcPr>
          <w:p w14:paraId="36337ED2" w14:textId="77777777" w:rsidR="000D492F" w:rsidRDefault="000D492F" w:rsidP="00C33F82">
            <w:pPr>
              <w:rPr>
                <w:rFonts w:ascii="Times New Roman" w:hAnsi="Times New Roman"/>
              </w:rPr>
            </w:pPr>
          </w:p>
        </w:tc>
        <w:tc>
          <w:tcPr>
            <w:tcW w:w="4886" w:type="dxa"/>
          </w:tcPr>
          <w:p w14:paraId="7094FD3A" w14:textId="77777777" w:rsidR="000D492F" w:rsidRPr="00412D47" w:rsidRDefault="000D492F" w:rsidP="00C33F8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Заступнику міського голови</w:t>
            </w:r>
            <w:r w:rsidRPr="00412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C38A17" w14:textId="77777777" w:rsidR="000D492F" w:rsidRPr="00412D47" w:rsidRDefault="000D492F" w:rsidP="00C33F8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Надії ГУШ</w:t>
            </w:r>
          </w:p>
          <w:p w14:paraId="4E955D1C" w14:textId="77777777" w:rsidR="000D492F" w:rsidRDefault="000D492F" w:rsidP="00C33F82">
            <w:pPr>
              <w:rPr>
                <w:rFonts w:ascii="Times New Roman" w:hAnsi="Times New Roman"/>
              </w:rPr>
            </w:pPr>
          </w:p>
        </w:tc>
      </w:tr>
    </w:tbl>
    <w:p w14:paraId="561AAD0F" w14:textId="77777777" w:rsidR="000D492F" w:rsidRDefault="000D492F" w:rsidP="000D4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E0458" w14:textId="77777777" w:rsidR="000D492F" w:rsidRPr="00406944" w:rsidRDefault="000D492F" w:rsidP="000D4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81A9F" w14:textId="3A395EE3" w:rsidR="000D492F" w:rsidRPr="00635F79" w:rsidRDefault="00635F79" w:rsidP="000D492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01</w:t>
      </w:r>
      <w:r w:rsidR="000D492F" w:rsidRPr="00406944">
        <w:rPr>
          <w:rFonts w:ascii="Times New Roman" w:hAnsi="Times New Roman"/>
          <w:sz w:val="24"/>
          <w:szCs w:val="24"/>
        </w:rPr>
        <w:t>.</w:t>
      </w:r>
      <w:r w:rsidR="000D49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0D492F" w:rsidRPr="00406944">
        <w:rPr>
          <w:rFonts w:ascii="Times New Roman" w:hAnsi="Times New Roman"/>
          <w:sz w:val="24"/>
          <w:szCs w:val="24"/>
        </w:rPr>
        <w:t>.202</w:t>
      </w:r>
      <w:r w:rsidR="000D492F">
        <w:rPr>
          <w:rFonts w:ascii="Times New Roman" w:hAnsi="Times New Roman"/>
          <w:sz w:val="24"/>
          <w:szCs w:val="24"/>
        </w:rPr>
        <w:t>2</w:t>
      </w:r>
      <w:r w:rsidR="000D492F" w:rsidRPr="00406944">
        <w:rPr>
          <w:rFonts w:ascii="Times New Roman" w:hAnsi="Times New Roman"/>
          <w:sz w:val="24"/>
          <w:szCs w:val="24"/>
        </w:rPr>
        <w:t xml:space="preserve">р </w:t>
      </w:r>
      <w:r w:rsidR="000D492F">
        <w:rPr>
          <w:rFonts w:ascii="Times New Roman" w:hAnsi="Times New Roman"/>
          <w:sz w:val="24"/>
          <w:szCs w:val="24"/>
        </w:rPr>
        <w:t>в</w:t>
      </w:r>
      <w:r w:rsidR="000D492F" w:rsidRPr="00406944">
        <w:rPr>
          <w:rFonts w:ascii="Times New Roman" w:hAnsi="Times New Roman"/>
          <w:sz w:val="24"/>
          <w:szCs w:val="24"/>
        </w:rPr>
        <w:t xml:space="preserve"> електронній системі публічних </w:t>
      </w:r>
      <w:proofErr w:type="spellStart"/>
      <w:r w:rsidR="000D492F" w:rsidRPr="0040694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0D492F" w:rsidRPr="0040694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0D492F" w:rsidRPr="00406944">
        <w:rPr>
          <w:rFonts w:ascii="Times New Roman" w:hAnsi="Times New Roman"/>
          <w:sz w:val="24"/>
          <w:szCs w:val="24"/>
        </w:rPr>
        <w:t>Prozorro</w:t>
      </w:r>
      <w:proofErr w:type="spellEnd"/>
      <w:r w:rsidR="000D492F" w:rsidRPr="00406944">
        <w:rPr>
          <w:rFonts w:ascii="Times New Roman" w:hAnsi="Times New Roman"/>
          <w:sz w:val="24"/>
          <w:szCs w:val="24"/>
        </w:rPr>
        <w:t xml:space="preserve">» оголошено </w:t>
      </w:r>
      <w:r w:rsidR="000D492F">
        <w:rPr>
          <w:rFonts w:ascii="Times New Roman" w:hAnsi="Times New Roman"/>
          <w:sz w:val="24"/>
          <w:szCs w:val="24"/>
        </w:rPr>
        <w:t>відкриті торги за предметом</w:t>
      </w:r>
      <w:r w:rsidR="000D492F" w:rsidRPr="00406944">
        <w:rPr>
          <w:rFonts w:ascii="Times New Roman" w:hAnsi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0D492F" w:rsidRPr="00406944">
        <w:rPr>
          <w:rFonts w:ascii="Times New Roman" w:hAnsi="Times New Roman"/>
          <w:sz w:val="24"/>
          <w:szCs w:val="24"/>
        </w:rPr>
        <w:t>«</w:t>
      </w:r>
      <w:r w:rsidR="000D492F" w:rsidRPr="000D492F">
        <w:rPr>
          <w:rFonts w:ascii="Times New Roman" w:hAnsi="Times New Roman"/>
          <w:sz w:val="24"/>
          <w:szCs w:val="24"/>
        </w:rPr>
        <w:t>Електрична енергія, код 09310000-5 – Електрична енергія за ДК 021:2015 «Єдиний закупівельний словник»</w:t>
      </w:r>
      <w:r w:rsidR="000D492F" w:rsidRPr="00406944">
        <w:rPr>
          <w:rFonts w:ascii="Times New Roman" w:hAnsi="Times New Roman"/>
          <w:sz w:val="24"/>
          <w:szCs w:val="24"/>
        </w:rPr>
        <w:t>»</w:t>
      </w:r>
      <w:bookmarkEnd w:id="1"/>
      <w:r w:rsidR="000D492F" w:rsidRPr="00406944">
        <w:rPr>
          <w:rFonts w:ascii="Times New Roman" w:hAnsi="Times New Roman"/>
          <w:sz w:val="24"/>
          <w:szCs w:val="24"/>
        </w:rPr>
        <w:t xml:space="preserve"> (</w:t>
      </w:r>
      <w:r w:rsidR="000D492F" w:rsidRPr="00AA3FD7">
        <w:rPr>
          <w:rFonts w:ascii="Times New Roman" w:hAnsi="Times New Roman"/>
          <w:sz w:val="24"/>
          <w:szCs w:val="24"/>
        </w:rPr>
        <w:t xml:space="preserve">ID: </w:t>
      </w:r>
      <w:r w:rsidRPr="00635F79">
        <w:rPr>
          <w:rFonts w:ascii="Times New Roman" w:hAnsi="Times New Roman"/>
          <w:sz w:val="24"/>
          <w:szCs w:val="24"/>
        </w:rPr>
        <w:t>UA-2022-12-01-012595-a</w:t>
      </w:r>
      <w:r w:rsidR="000D492F" w:rsidRPr="00406944">
        <w:rPr>
          <w:rFonts w:ascii="Times New Roman" w:hAnsi="Times New Roman"/>
          <w:sz w:val="24"/>
          <w:szCs w:val="24"/>
        </w:rPr>
        <w:t xml:space="preserve">) </w:t>
      </w:r>
      <w:bookmarkEnd w:id="2"/>
      <w:r w:rsidR="000D492F" w:rsidRPr="00406944">
        <w:rPr>
          <w:rFonts w:ascii="Times New Roman" w:hAnsi="Times New Roman"/>
          <w:sz w:val="24"/>
          <w:szCs w:val="24"/>
        </w:rPr>
        <w:t xml:space="preserve">– очікуваною вартістю </w:t>
      </w:r>
      <w:r w:rsidR="00875A92" w:rsidRPr="00635F79">
        <w:rPr>
          <w:rFonts w:ascii="Times New Roman" w:hAnsi="Times New Roman"/>
          <w:sz w:val="24"/>
          <w:szCs w:val="24"/>
        </w:rPr>
        <w:t>508985</w:t>
      </w:r>
      <w:r w:rsidR="000D492F" w:rsidRPr="00635F79">
        <w:rPr>
          <w:rFonts w:ascii="Times New Roman" w:hAnsi="Times New Roman"/>
          <w:sz w:val="24"/>
          <w:szCs w:val="24"/>
        </w:rPr>
        <w:t>,</w:t>
      </w:r>
      <w:r w:rsidR="00875A92" w:rsidRPr="00635F79">
        <w:rPr>
          <w:rFonts w:ascii="Times New Roman" w:hAnsi="Times New Roman"/>
          <w:sz w:val="24"/>
          <w:szCs w:val="24"/>
        </w:rPr>
        <w:t>5</w:t>
      </w:r>
      <w:r w:rsidR="000D492F" w:rsidRPr="00635F79">
        <w:rPr>
          <w:rFonts w:ascii="Times New Roman" w:hAnsi="Times New Roman"/>
          <w:sz w:val="24"/>
          <w:szCs w:val="24"/>
        </w:rPr>
        <w:t>0 грн.</w:t>
      </w:r>
    </w:p>
    <w:p w14:paraId="3B7247EA" w14:textId="4CDD84E6" w:rsidR="000D492F" w:rsidRPr="00635F79" w:rsidRDefault="000D492F" w:rsidP="000D492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35F79">
        <w:rPr>
          <w:rFonts w:ascii="Times New Roman" w:hAnsi="Times New Roman"/>
          <w:sz w:val="24"/>
          <w:szCs w:val="24"/>
        </w:rPr>
        <w:t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«</w:t>
      </w:r>
      <w:r w:rsidR="009344DA" w:rsidRPr="00635F79">
        <w:rPr>
          <w:rFonts w:ascii="Times New Roman" w:hAnsi="Times New Roman"/>
          <w:sz w:val="24"/>
          <w:szCs w:val="24"/>
        </w:rPr>
        <w:t>Електрична енергія, код 09310000-5 – Електрична енергія за ДК 021:2015 «Єдиний закупівельний словник»</w:t>
      </w:r>
      <w:r w:rsidRPr="00635F79">
        <w:rPr>
          <w:rFonts w:ascii="Times New Roman" w:hAnsi="Times New Roman"/>
          <w:sz w:val="24"/>
          <w:szCs w:val="24"/>
        </w:rPr>
        <w:t>» (</w:t>
      </w:r>
      <w:bookmarkStart w:id="3" w:name="_Hlk87858829"/>
      <w:r w:rsidRPr="00635F79">
        <w:rPr>
          <w:rFonts w:ascii="Times New Roman" w:hAnsi="Times New Roman"/>
          <w:sz w:val="24"/>
          <w:szCs w:val="24"/>
        </w:rPr>
        <w:t xml:space="preserve">ID: </w:t>
      </w:r>
      <w:bookmarkEnd w:id="3"/>
      <w:r w:rsidR="00635F79" w:rsidRPr="00635F79">
        <w:rPr>
          <w:rFonts w:ascii="Times New Roman" w:hAnsi="Times New Roman"/>
          <w:sz w:val="24"/>
          <w:szCs w:val="24"/>
        </w:rPr>
        <w:t>UA-2022-12-01-012595-a</w:t>
      </w:r>
      <w:r w:rsidRPr="00635F79">
        <w:rPr>
          <w:rFonts w:ascii="Times New Roman" w:hAnsi="Times New Roman"/>
          <w:sz w:val="24"/>
          <w:szCs w:val="24"/>
        </w:rPr>
        <w:t>),  повідомляємо:</w:t>
      </w:r>
    </w:p>
    <w:p w14:paraId="2A3DA31E" w14:textId="77777777" w:rsidR="000D492F" w:rsidRPr="00635F79" w:rsidRDefault="000D492F" w:rsidP="000D492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19A777D7" w14:textId="5D5C77E3" w:rsidR="000D492F" w:rsidRPr="00635F79" w:rsidRDefault="000D492F" w:rsidP="000D492F">
      <w:pPr>
        <w:pStyle w:val="af3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635F79">
        <w:rPr>
          <w:b/>
        </w:rPr>
        <w:t xml:space="preserve">Обґрунтування розміру бюджетного призначення: </w:t>
      </w:r>
    </w:p>
    <w:p w14:paraId="3F70290A" w14:textId="4CE33BD9" w:rsidR="00265BFB" w:rsidRDefault="00265BFB" w:rsidP="00265BFB">
      <w:pPr>
        <w:pStyle w:val="af3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667DBD46" w14:textId="29F5D3A0" w:rsidR="00F327C7" w:rsidRPr="00401900" w:rsidRDefault="00875A92" w:rsidP="00401900">
      <w:pPr>
        <w:pStyle w:val="af3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ab/>
      </w:r>
      <w:r w:rsidR="00265BFB" w:rsidRPr="00C52144">
        <w:rPr>
          <w:bCs/>
        </w:rPr>
        <w:t>Розмір бюджетного призначення визначений програмою 0210160 «Керівництво і управління у відповідній сфері  у містах (місті Києві), селищах, селах, територіальних громадах» в межах прогнозованих кошторисних призначень</w:t>
      </w:r>
      <w:r w:rsidR="00BD25DB" w:rsidRPr="00C52144">
        <w:rPr>
          <w:bCs/>
          <w:lang w:val="en-US"/>
        </w:rPr>
        <w:t xml:space="preserve"> </w:t>
      </w:r>
      <w:r w:rsidR="00BD25DB" w:rsidRPr="00C52144">
        <w:rPr>
          <w:bCs/>
        </w:rPr>
        <w:t>на</w:t>
      </w:r>
      <w:r w:rsidR="00BD25DB" w:rsidRPr="00C52144">
        <w:rPr>
          <w:bCs/>
          <w:lang w:val="en-US"/>
        </w:rPr>
        <w:t xml:space="preserve"> 2023 </w:t>
      </w:r>
      <w:r w:rsidR="00BD25DB" w:rsidRPr="00C52144">
        <w:rPr>
          <w:bCs/>
        </w:rPr>
        <w:t>рік</w:t>
      </w:r>
      <w:r w:rsidR="00265BFB" w:rsidRPr="00C52144">
        <w:rPr>
          <w:bCs/>
        </w:rPr>
        <w:t>.</w:t>
      </w:r>
    </w:p>
    <w:p w14:paraId="751D0CCC" w14:textId="77777777" w:rsidR="00F327C7" w:rsidRDefault="00F327C7" w:rsidP="00223D16">
      <w:pPr>
        <w:pStyle w:val="af3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48A9544A" w14:textId="7D9206C9" w:rsidR="000D492F" w:rsidRDefault="000D492F" w:rsidP="000D492F">
      <w:pPr>
        <w:pStyle w:val="af3"/>
        <w:numPr>
          <w:ilvl w:val="0"/>
          <w:numId w:val="18"/>
        </w:numPr>
        <w:tabs>
          <w:tab w:val="left" w:pos="360"/>
          <w:tab w:val="left" w:pos="426"/>
        </w:tabs>
        <w:spacing w:before="0" w:beforeAutospacing="0" w:after="0" w:afterAutospacing="0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661B5097" w14:textId="77777777" w:rsidR="00C52144" w:rsidRDefault="00C52144" w:rsidP="00C52144">
      <w:pPr>
        <w:pStyle w:val="af3"/>
        <w:tabs>
          <w:tab w:val="left" w:pos="360"/>
          <w:tab w:val="left" w:pos="426"/>
        </w:tabs>
        <w:spacing w:before="0" w:beforeAutospacing="0" w:after="0" w:afterAutospacing="0"/>
        <w:ind w:left="284"/>
        <w:jc w:val="both"/>
        <w:rPr>
          <w:b/>
        </w:rPr>
      </w:pPr>
    </w:p>
    <w:p w14:paraId="168D06E0" w14:textId="27DB9704" w:rsidR="00265BFB" w:rsidRDefault="00E2207A" w:rsidP="00265BFB">
      <w:pPr>
        <w:pStyle w:val="af3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tab/>
      </w:r>
      <w:r w:rsidR="00265BFB">
        <w:t>Очікувана вартість закупівлі на 2023 рік визначається виходячи з очікуваного обсягу споживання електричної енергії та тарифу на постачання електричної енергії</w:t>
      </w:r>
      <w:r w:rsidR="00C52144">
        <w:t>. Очікувана вартість</w:t>
      </w:r>
      <w:r w:rsidR="00265BFB">
        <w:t xml:space="preserve"> визначен</w:t>
      </w:r>
      <w:r w:rsidR="00C52144">
        <w:t>а</w:t>
      </w:r>
      <w:r w:rsidR="00265BFB">
        <w:t xml:space="preserve"> методом порівняння ринкових цін, відповідно до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275, за результатами </w:t>
      </w:r>
      <w:r w:rsidR="00265BFB" w:rsidRPr="00223D16">
        <w:t>порівняння ринкових цін</w:t>
      </w:r>
      <w:r w:rsidR="00265BFB">
        <w:t xml:space="preserve"> на електричну енергію. До ціни електричної енергії включена вартість послуг з передачі електричної енергії.</w:t>
      </w:r>
    </w:p>
    <w:p w14:paraId="3B4D7DA4" w14:textId="0DB03C4C" w:rsidR="00265BFB" w:rsidRDefault="00265BFB" w:rsidP="00265BFB">
      <w:pPr>
        <w:pStyle w:val="af3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t>До очікуваної вартості закупівлі не включається ціна (тариф) оператора системи розподілу на послуги з розподілу електричної енергії. Виконавчим комітетом буде укладено окремий договір на зазначені послуги.</w:t>
      </w:r>
    </w:p>
    <w:p w14:paraId="26D9D43F" w14:textId="77777777" w:rsidR="00265BFB" w:rsidRDefault="00265BFB" w:rsidP="00265BFB">
      <w:pPr>
        <w:pStyle w:val="af3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tab/>
        <w:t>Враховуючи необхідний обсяг закупівлі електричної енергії на 2023 рік, очікувана вартість закупівлі становить – 508985,5 грн з ПДВ.</w:t>
      </w:r>
    </w:p>
    <w:p w14:paraId="36744D17" w14:textId="77777777" w:rsidR="00265BFB" w:rsidRDefault="00265BFB" w:rsidP="000D492F">
      <w:pPr>
        <w:pStyle w:val="af3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4501D071" w14:textId="77777777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p w14:paraId="71A648C7" w14:textId="77777777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W w:w="9766" w:type="dxa"/>
        <w:jc w:val="center"/>
        <w:tblLayout w:type="fixed"/>
        <w:tblLook w:val="0000" w:firstRow="0" w:lastRow="0" w:firstColumn="0" w:lastColumn="0" w:noHBand="0" w:noVBand="0"/>
      </w:tblPr>
      <w:tblGrid>
        <w:gridCol w:w="689"/>
        <w:gridCol w:w="2116"/>
        <w:gridCol w:w="4754"/>
        <w:gridCol w:w="2207"/>
      </w:tblGrid>
      <w:tr w:rsidR="000D492F" w:rsidRPr="00C86E12" w14:paraId="4205CF67" w14:textId="77777777" w:rsidTr="00C33F82">
        <w:trPr>
          <w:trHeight w:val="6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342F04F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A09BD7A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2B69C55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b/>
                <w:sz w:val="24"/>
                <w:szCs w:val="24"/>
              </w:rPr>
              <w:t>Адреса об’єкту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2982666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b/>
                <w:sz w:val="24"/>
                <w:szCs w:val="24"/>
              </w:rPr>
              <w:t>ЕІС-код точки комерційного обліку</w:t>
            </w:r>
          </w:p>
        </w:tc>
      </w:tr>
      <w:tr w:rsidR="000D492F" w:rsidRPr="00C86E12" w14:paraId="2C68259D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3F26CAB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63FDC8D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AFCCD96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Івано-Франківська область, м. Калуш, вул. Івана Франка,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F67CE74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62Z3573744478918</w:t>
            </w:r>
          </w:p>
        </w:tc>
      </w:tr>
      <w:tr w:rsidR="000D492F" w:rsidRPr="00C86E12" w14:paraId="732B67EF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277B9F9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626594D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83CC2A0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Івано-Франківська область, м. Калуш, вул. Івана Франка,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E03644B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62Z1328044436681</w:t>
            </w:r>
          </w:p>
        </w:tc>
      </w:tr>
      <w:tr w:rsidR="000D492F" w:rsidRPr="00C86E12" w14:paraId="5D5F464D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33F4218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CD77FBE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24C5A84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 xml:space="preserve">Івано-Франківська область, Калуський район, с. Боднарів вул. Шевченка, </w:t>
            </w:r>
            <w:r w:rsidRPr="00C86E12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639402A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62Z7819478818204</w:t>
            </w:r>
          </w:p>
        </w:tc>
      </w:tr>
      <w:tr w:rsidR="000D492F" w:rsidRPr="00C86E12" w14:paraId="30BE5E79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B18D6E9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2F96170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41BF9C0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Івано-Франківська область, Калуський район, с. Вістова, вул. Шевченка, 36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0492287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  <w:lang w:val="ru-RU"/>
              </w:rPr>
              <w:t>62Z5077854719442</w:t>
            </w:r>
          </w:p>
        </w:tc>
      </w:tr>
      <w:tr w:rsidR="000D492F" w:rsidRPr="00C86E12" w14:paraId="27376330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23B2219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197E045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A83599C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 xml:space="preserve">Івано-Франківська область, Калуський район, с. </w:t>
            </w:r>
            <w:proofErr w:type="spellStart"/>
            <w:r w:rsidRPr="00C86E12">
              <w:rPr>
                <w:rFonts w:eastAsia="Calibri"/>
                <w:sz w:val="24"/>
                <w:szCs w:val="24"/>
              </w:rPr>
              <w:t>Голинь</w:t>
            </w:r>
            <w:proofErr w:type="spellEnd"/>
            <w:r w:rsidRPr="00C86E12">
              <w:rPr>
                <w:rFonts w:eastAsia="Calibri"/>
                <w:sz w:val="24"/>
                <w:szCs w:val="24"/>
              </w:rPr>
              <w:t xml:space="preserve">, 600-річчя </w:t>
            </w:r>
            <w:proofErr w:type="spellStart"/>
            <w:r w:rsidRPr="00C86E12">
              <w:rPr>
                <w:rFonts w:eastAsia="Calibri"/>
                <w:sz w:val="24"/>
                <w:szCs w:val="24"/>
              </w:rPr>
              <w:t>Голиня</w:t>
            </w:r>
            <w:proofErr w:type="spellEnd"/>
            <w:r w:rsidRPr="00C86E12">
              <w:rPr>
                <w:rFonts w:eastAsia="Calibri"/>
                <w:sz w:val="24"/>
                <w:szCs w:val="24"/>
              </w:rPr>
              <w:t>, 18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C118565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62Z2022832203930</w:t>
            </w:r>
          </w:p>
        </w:tc>
      </w:tr>
      <w:tr w:rsidR="000D492F" w:rsidRPr="00C86E12" w14:paraId="7793710D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2E4E6B5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6.</w:t>
            </w:r>
          </w:p>
          <w:p w14:paraId="72735F0E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F1289DB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53F7472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 xml:space="preserve">Івано-Франківська область, Калуський район, с. Кропивник вул. </w:t>
            </w:r>
            <w:proofErr w:type="spellStart"/>
            <w:r w:rsidRPr="00C86E12">
              <w:rPr>
                <w:rFonts w:eastAsia="Calibri"/>
                <w:sz w:val="24"/>
                <w:szCs w:val="24"/>
              </w:rPr>
              <w:t>С.Стрільців</w:t>
            </w:r>
            <w:proofErr w:type="spellEnd"/>
            <w:r w:rsidRPr="00C86E12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E6303BE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  <w:lang w:val="ru-RU"/>
              </w:rPr>
              <w:t>62Z6515300344554</w:t>
            </w:r>
          </w:p>
        </w:tc>
      </w:tr>
      <w:tr w:rsidR="000D492F" w:rsidRPr="00C86E12" w14:paraId="7F0163EA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E65088A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5058A0C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08DC833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Івано-Франківська область, Калуський район, с. Мостище вул. Стуса,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A461E33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  <w:lang w:val="ru-RU"/>
              </w:rPr>
              <w:t>62Z2909511247863</w:t>
            </w:r>
          </w:p>
        </w:tc>
      </w:tr>
      <w:tr w:rsidR="000D492F" w:rsidRPr="00C86E12" w14:paraId="491FC0A1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362FC98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7814556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54DC04B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Івано-Франківська область, Калуський район, с. Пійло, вул. Грушевського, 85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2D6E519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62Z877708801167Z</w:t>
            </w:r>
          </w:p>
        </w:tc>
      </w:tr>
      <w:tr w:rsidR="000D492F" w:rsidRPr="00C86E12" w14:paraId="00F2CC2B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22DC471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0D608BB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E19B410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C86E12">
              <w:rPr>
                <w:rFonts w:eastAsia="Calibri"/>
                <w:bCs/>
                <w:sz w:val="24"/>
                <w:szCs w:val="24"/>
              </w:rPr>
              <w:t xml:space="preserve">Івано-Франківська область, Калуський район, с. </w:t>
            </w:r>
            <w:proofErr w:type="spellStart"/>
            <w:r w:rsidRPr="00C86E12">
              <w:rPr>
                <w:rFonts w:eastAsia="Calibri"/>
                <w:bCs/>
                <w:sz w:val="24"/>
                <w:szCs w:val="24"/>
              </w:rPr>
              <w:t>Ріп’янка</w:t>
            </w:r>
            <w:proofErr w:type="spellEnd"/>
            <w:r w:rsidRPr="00C86E12">
              <w:rPr>
                <w:rFonts w:eastAsia="Calibri"/>
                <w:bCs/>
                <w:sz w:val="24"/>
                <w:szCs w:val="24"/>
              </w:rPr>
              <w:t xml:space="preserve">, вул. </w:t>
            </w:r>
            <w:proofErr w:type="spellStart"/>
            <w:r w:rsidRPr="00C86E12">
              <w:rPr>
                <w:rFonts w:eastAsia="Calibri"/>
                <w:bCs/>
                <w:sz w:val="24"/>
                <w:szCs w:val="24"/>
              </w:rPr>
              <w:t>І.Франка</w:t>
            </w:r>
            <w:proofErr w:type="spellEnd"/>
            <w:r w:rsidRPr="00C86E12">
              <w:rPr>
                <w:rFonts w:eastAsia="Calibri"/>
                <w:bCs/>
                <w:sz w:val="24"/>
                <w:szCs w:val="24"/>
              </w:rPr>
              <w:t>, 3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B1DCA9D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62Z8630324010452</w:t>
            </w:r>
          </w:p>
        </w:tc>
      </w:tr>
      <w:tr w:rsidR="000D492F" w:rsidRPr="00C86E12" w14:paraId="2FA443B4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D8F4D02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D8A3930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AC0EEBC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C86E12">
              <w:rPr>
                <w:rFonts w:eastAsia="Calibri"/>
                <w:bCs/>
                <w:sz w:val="24"/>
                <w:szCs w:val="24"/>
              </w:rPr>
              <w:t xml:space="preserve">Івано-Франківська область, Калуський район, с. Сівка-Калуська, вул. </w:t>
            </w:r>
            <w:proofErr w:type="spellStart"/>
            <w:r w:rsidRPr="00C86E12">
              <w:rPr>
                <w:rFonts w:eastAsia="Calibri"/>
                <w:bCs/>
                <w:sz w:val="24"/>
                <w:szCs w:val="24"/>
              </w:rPr>
              <w:t>І.Франка</w:t>
            </w:r>
            <w:proofErr w:type="spellEnd"/>
            <w:r w:rsidRPr="00C86E12">
              <w:rPr>
                <w:rFonts w:eastAsia="Calibri"/>
                <w:bCs/>
                <w:sz w:val="24"/>
                <w:szCs w:val="24"/>
              </w:rPr>
              <w:t>, 57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693655C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62Z2877896764534</w:t>
            </w:r>
          </w:p>
        </w:tc>
      </w:tr>
      <w:tr w:rsidR="000D492F" w:rsidRPr="00C86E12" w14:paraId="6EA168B5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BC61C98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A43C2A5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48EFC18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 xml:space="preserve">Івано-Франківська область, Калуський район, с. </w:t>
            </w:r>
            <w:proofErr w:type="spellStart"/>
            <w:r w:rsidRPr="00C86E12">
              <w:rPr>
                <w:rFonts w:eastAsia="Calibri"/>
                <w:sz w:val="24"/>
                <w:szCs w:val="24"/>
              </w:rPr>
              <w:t>Студінка</w:t>
            </w:r>
            <w:proofErr w:type="spellEnd"/>
            <w:r w:rsidRPr="00C86E12">
              <w:rPr>
                <w:rFonts w:eastAsia="Calibri"/>
                <w:sz w:val="24"/>
                <w:szCs w:val="24"/>
              </w:rPr>
              <w:t xml:space="preserve"> вул. </w:t>
            </w:r>
            <w:proofErr w:type="spellStart"/>
            <w:r w:rsidRPr="00C86E12">
              <w:rPr>
                <w:rFonts w:eastAsia="Calibri"/>
                <w:sz w:val="24"/>
                <w:szCs w:val="24"/>
              </w:rPr>
              <w:t>П.Мирного</w:t>
            </w:r>
            <w:proofErr w:type="spellEnd"/>
            <w:r w:rsidRPr="00C86E12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C6A21D9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62Z4393103115912</w:t>
            </w:r>
          </w:p>
        </w:tc>
      </w:tr>
      <w:tr w:rsidR="000D492F" w:rsidRPr="00C86E12" w14:paraId="78799D08" w14:textId="77777777" w:rsidTr="00C33F82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13AD0A7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8637BE6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B94E93D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86E12">
              <w:rPr>
                <w:rFonts w:eastAsia="Calibri"/>
                <w:bCs/>
                <w:sz w:val="24"/>
                <w:szCs w:val="24"/>
              </w:rPr>
              <w:t>Івано-Франківська область, Калуський</w:t>
            </w:r>
            <w:r w:rsidRPr="00C86E1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86E12">
              <w:rPr>
                <w:rFonts w:eastAsia="Calibri"/>
                <w:bCs/>
                <w:sz w:val="24"/>
                <w:szCs w:val="24"/>
              </w:rPr>
              <w:t xml:space="preserve">район, </w:t>
            </w:r>
            <w:proofErr w:type="spellStart"/>
            <w:r w:rsidRPr="00C86E12">
              <w:rPr>
                <w:rFonts w:eastAsia="Calibri"/>
                <w:bCs/>
                <w:sz w:val="24"/>
                <w:szCs w:val="24"/>
              </w:rPr>
              <w:t>с.Тужилів</w:t>
            </w:r>
            <w:proofErr w:type="spellEnd"/>
            <w:r w:rsidRPr="00C86E12">
              <w:rPr>
                <w:rFonts w:eastAsia="Calibri"/>
                <w:bCs/>
                <w:sz w:val="24"/>
                <w:szCs w:val="24"/>
              </w:rPr>
              <w:t xml:space="preserve">, вул. </w:t>
            </w:r>
            <w:proofErr w:type="spellStart"/>
            <w:r w:rsidRPr="00C86E12">
              <w:rPr>
                <w:rFonts w:eastAsia="Calibri"/>
                <w:bCs/>
                <w:sz w:val="24"/>
                <w:szCs w:val="24"/>
              </w:rPr>
              <w:t>Б.Хмельницького</w:t>
            </w:r>
            <w:proofErr w:type="spellEnd"/>
            <w:r w:rsidRPr="00C86E12">
              <w:rPr>
                <w:rFonts w:eastAsia="Calibri"/>
                <w:bCs/>
                <w:sz w:val="24"/>
                <w:szCs w:val="24"/>
              </w:rPr>
              <w:t>, 16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AC4BC53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62Z7193297687415</w:t>
            </w:r>
          </w:p>
        </w:tc>
      </w:tr>
      <w:tr w:rsidR="000D492F" w:rsidRPr="00C86E12" w14:paraId="24895467" w14:textId="77777777" w:rsidTr="00283FB0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C8A36C9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D64B907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</w:tcPr>
          <w:p w14:paraId="6C1B0CB2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Івано-Франківська область, м. Калуш, вул. Шевченка, 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4C2E99F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C86E12">
              <w:rPr>
                <w:rFonts w:eastAsia="Calibri"/>
                <w:sz w:val="24"/>
                <w:szCs w:val="24"/>
              </w:rPr>
              <w:t>62</w:t>
            </w:r>
            <w:r w:rsidRPr="00C86E12">
              <w:rPr>
                <w:rFonts w:eastAsia="Calibri"/>
                <w:sz w:val="24"/>
                <w:szCs w:val="24"/>
                <w:lang w:val="en-US"/>
              </w:rPr>
              <w:t>Z7701517916223</w:t>
            </w:r>
          </w:p>
        </w:tc>
      </w:tr>
      <w:tr w:rsidR="000D492F" w:rsidRPr="00C86E12" w14:paraId="1168CB68" w14:textId="77777777" w:rsidTr="00283FB0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377AC83" w14:textId="77777777" w:rsidR="000D492F" w:rsidRPr="00C86E12" w:rsidRDefault="000D492F" w:rsidP="00C33F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single" w:sz="4" w:space="0" w:color="auto"/>
              <w:right w:val="dashSmallGap" w:sz="8" w:space="0" w:color="000000"/>
            </w:tcBorders>
            <w:shd w:val="clear" w:color="auto" w:fill="auto"/>
            <w:vAlign w:val="center"/>
          </w:tcPr>
          <w:p w14:paraId="61220729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>Нежитлове приміщення ЦНАП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</w:tcPr>
          <w:p w14:paraId="7179AD79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</w:rPr>
              <w:t xml:space="preserve">Івано-Франківська область, м. Калуш, вул. </w:t>
            </w:r>
            <w:proofErr w:type="spellStart"/>
            <w:r w:rsidRPr="00C86E12">
              <w:rPr>
                <w:rFonts w:eastAsia="Calibri"/>
                <w:sz w:val="24"/>
                <w:szCs w:val="24"/>
              </w:rPr>
              <w:t>Б.Хмельницького</w:t>
            </w:r>
            <w:proofErr w:type="spellEnd"/>
            <w:r w:rsidRPr="00C86E12">
              <w:rPr>
                <w:rFonts w:eastAsia="Calibri"/>
                <w:sz w:val="24"/>
                <w:szCs w:val="24"/>
              </w:rPr>
              <w:t>, 52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400E547" w14:textId="77777777" w:rsidR="000D492F" w:rsidRPr="00C86E12" w:rsidRDefault="000D492F" w:rsidP="00C33F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86E12">
              <w:rPr>
                <w:rFonts w:eastAsia="Calibri"/>
                <w:sz w:val="24"/>
                <w:szCs w:val="24"/>
                <w:lang w:val="ru-RU"/>
              </w:rPr>
              <w:t>62Z7807673166894</w:t>
            </w:r>
          </w:p>
        </w:tc>
      </w:tr>
    </w:tbl>
    <w:p w14:paraId="28701A16" w14:textId="77777777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6FA582B3" w14:textId="1E6961AE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>Розрахунок очікуваної вартості для закупівлі електричної енергії:</w:t>
      </w:r>
    </w:p>
    <w:p w14:paraId="4BD506AF" w14:textId="77777777" w:rsidR="007341FE" w:rsidRDefault="007341FE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</w:p>
    <w:p w14:paraId="3B93FC85" w14:textId="77777777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 xml:space="preserve">Ц факт = Середньозважена Ціна РДН + 10% </w:t>
      </w:r>
    </w:p>
    <w:p w14:paraId="374B5EF2" w14:textId="7847ABB9" w:rsidR="000D492F" w:rsidRDefault="000D492F" w:rsidP="00B22D64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>Показник с</w:t>
      </w:r>
      <w:r w:rsidRPr="002F0606">
        <w:t>ередньозважен</w:t>
      </w:r>
      <w:r>
        <w:t>ої</w:t>
      </w:r>
      <w:r w:rsidRPr="002F0606">
        <w:t xml:space="preserve"> </w:t>
      </w:r>
      <w:r w:rsidR="00B22D64">
        <w:t xml:space="preserve">ринкової </w:t>
      </w:r>
      <w:r>
        <w:t>ц</w:t>
      </w:r>
      <w:r w:rsidRPr="002F0606">
        <w:t>ін</w:t>
      </w:r>
      <w:r w:rsidR="00B22D64">
        <w:t>и</w:t>
      </w:r>
      <w:r w:rsidRPr="002F0606">
        <w:t xml:space="preserve"> РДН </w:t>
      </w:r>
      <w:r>
        <w:t>на момент оголошення процедури закупівлі</w:t>
      </w:r>
      <w:r w:rsidRPr="002F0606">
        <w:t xml:space="preserve"> </w:t>
      </w:r>
      <w:r>
        <w:t xml:space="preserve">взято із сайту оператора ринку </w:t>
      </w:r>
      <w:hyperlink r:id="rId9" w:history="1">
        <w:r w:rsidRPr="00041A5E">
          <w:rPr>
            <w:rStyle w:val="af"/>
          </w:rPr>
          <w:t>https://www.oree.com.ua</w:t>
        </w:r>
      </w:hyperlink>
      <w:r>
        <w:t xml:space="preserve">, який становить </w:t>
      </w:r>
      <w:r w:rsidRPr="00A70DFE">
        <w:t xml:space="preserve">= </w:t>
      </w:r>
      <w:r w:rsidR="00314CB3">
        <w:t>3</w:t>
      </w:r>
      <w:r w:rsidRPr="00A70DFE">
        <w:t>,</w:t>
      </w:r>
      <w:r w:rsidR="00314CB3">
        <w:t>54</w:t>
      </w:r>
      <w:r>
        <w:t xml:space="preserve"> грн. без ПДВ.</w:t>
      </w:r>
    </w:p>
    <w:p w14:paraId="61864194" w14:textId="17DD0A57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lastRenderedPageBreak/>
        <w:t xml:space="preserve">Ц факт = </w:t>
      </w:r>
      <w:r w:rsidR="00314CB3">
        <w:t>3</w:t>
      </w:r>
      <w:r>
        <w:t>,</w:t>
      </w:r>
      <w:r w:rsidR="00314CB3">
        <w:t>54</w:t>
      </w:r>
      <w:r>
        <w:t xml:space="preserve"> + 10% = 3,89 грн. без ПДВ, </w:t>
      </w:r>
      <w:r w:rsidRPr="005806CE">
        <w:t xml:space="preserve">Ц факт з ПДВ = </w:t>
      </w:r>
      <w:r w:rsidR="00314CB3">
        <w:t>4</w:t>
      </w:r>
      <w:r w:rsidRPr="005806CE">
        <w:t>,</w:t>
      </w:r>
      <w:r w:rsidR="00314CB3">
        <w:t>6</w:t>
      </w:r>
      <w:r>
        <w:t>7</w:t>
      </w:r>
      <w:r w:rsidRPr="005806CE">
        <w:t xml:space="preserve"> грн. </w:t>
      </w:r>
      <w:r>
        <w:t>з урахуванням приросту ціни.</w:t>
      </w:r>
    </w:p>
    <w:p w14:paraId="4B3557CC" w14:textId="167AE24C" w:rsidR="004F70E2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 xml:space="preserve">Т пер. = </w:t>
      </w:r>
      <w:r w:rsidR="00314CB3">
        <w:t xml:space="preserve">прогнозований </w:t>
      </w:r>
      <w:r>
        <w:t>тариф на передачу</w:t>
      </w:r>
      <w:r w:rsidR="004F70E2">
        <w:t xml:space="preserve"> електричної енергії на 2023 рік.</w:t>
      </w:r>
    </w:p>
    <w:p w14:paraId="768EB888" w14:textId="16AECE84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 w:rsidRPr="005806CE">
        <w:t>Т пер. = 0,</w:t>
      </w:r>
      <w:r w:rsidR="00314CB3">
        <w:t>522</w:t>
      </w:r>
      <w:r w:rsidRPr="005806CE">
        <w:t xml:space="preserve"> грн. без ПДВ, Т пер. з ПДВ = 0,</w:t>
      </w:r>
      <w:r w:rsidR="00314CB3">
        <w:t>6264</w:t>
      </w:r>
      <w:r w:rsidRPr="005806CE">
        <w:t xml:space="preserve"> грн.</w:t>
      </w:r>
    </w:p>
    <w:p w14:paraId="5C4A3D94" w14:textId="63E85983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 xml:space="preserve">Очікувана вартість для закупівлі електроенергії розраховується, як добуток прогнозованого обсягу споживання </w:t>
      </w:r>
      <w:r w:rsidR="00314CB3">
        <w:t>96035</w:t>
      </w:r>
      <w:r>
        <w:t xml:space="preserve">  </w:t>
      </w:r>
      <w:proofErr w:type="spellStart"/>
      <w:r>
        <w:t>кВт.год</w:t>
      </w:r>
      <w:proofErr w:type="spellEnd"/>
      <w:r>
        <w:t xml:space="preserve"> на </w:t>
      </w:r>
      <w:r w:rsidR="00314CB3">
        <w:t>5</w:t>
      </w:r>
      <w:r>
        <w:t>,</w:t>
      </w:r>
      <w:r w:rsidR="00314CB3">
        <w:t>3</w:t>
      </w:r>
      <w:r>
        <w:t xml:space="preserve"> (прогнозована вартість гривень за </w:t>
      </w:r>
      <w:proofErr w:type="spellStart"/>
      <w:r>
        <w:t>кВт.год</w:t>
      </w:r>
      <w:proofErr w:type="spellEnd"/>
      <w:r>
        <w:t xml:space="preserve"> разом з тарифами на передачу та з ПДВ) </w:t>
      </w:r>
      <w:r>
        <w:rPr>
          <w:rFonts w:ascii="Cambria Math" w:hAnsi="Cambria Math" w:cs="Cambria Math"/>
        </w:rPr>
        <w:t>і загальна сума становить</w:t>
      </w:r>
      <w:r>
        <w:t xml:space="preserve"> </w:t>
      </w:r>
      <w:r w:rsidR="00314CB3">
        <w:t>508985</w:t>
      </w:r>
      <w:r>
        <w:t>,</w:t>
      </w:r>
      <w:r w:rsidR="00314CB3">
        <w:t>5</w:t>
      </w:r>
      <w:r>
        <w:t xml:space="preserve"> грн. </w:t>
      </w:r>
    </w:p>
    <w:p w14:paraId="2729407E" w14:textId="77777777" w:rsidR="000D492F" w:rsidRDefault="000D492F" w:rsidP="000D492F">
      <w:pPr>
        <w:pStyle w:val="af3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</w:pPr>
    </w:p>
    <w:p w14:paraId="1B02D665" w14:textId="77777777" w:rsidR="000D492F" w:rsidRPr="00406944" w:rsidRDefault="000D492F" w:rsidP="000D492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7B1B0" w14:textId="77777777" w:rsidR="000D492F" w:rsidRPr="00406944" w:rsidRDefault="000D492F" w:rsidP="000D492F">
      <w:pPr>
        <w:pStyle w:val="af3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11989457" w14:textId="77777777" w:rsidR="000D492F" w:rsidRDefault="000D492F" w:rsidP="000D492F">
      <w:pPr>
        <w:pStyle w:val="af3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257F9A8F" w14:textId="525BDACE" w:rsidR="000D492F" w:rsidRPr="00406944" w:rsidRDefault="000D492F" w:rsidP="000D492F">
      <w:pPr>
        <w:pStyle w:val="af3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 xml:space="preserve">        </w:t>
      </w:r>
      <w:r w:rsidR="00D40EFD" w:rsidRPr="00D40EFD">
        <w:rPr>
          <w:bCs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(ДСТУ EN 50160:2014).</w:t>
      </w:r>
    </w:p>
    <w:p w14:paraId="2B592855" w14:textId="250B0016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06944">
        <w:rPr>
          <w:rFonts w:ascii="Times New Roman" w:hAnsi="Times New Roman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944">
        <w:rPr>
          <w:rFonts w:ascii="Times New Roman" w:hAnsi="Times New Roman"/>
          <w:sz w:val="24"/>
          <w:szCs w:val="24"/>
        </w:rPr>
        <w:t xml:space="preserve">визначені в   </w:t>
      </w:r>
      <w:r w:rsidRPr="00C86E12">
        <w:rPr>
          <w:rFonts w:ascii="Times New Roman" w:hAnsi="Times New Roman"/>
          <w:sz w:val="24"/>
          <w:szCs w:val="24"/>
        </w:rPr>
        <w:t>ДОДАТ</w:t>
      </w:r>
      <w:r>
        <w:rPr>
          <w:rFonts w:ascii="Times New Roman" w:hAnsi="Times New Roman"/>
          <w:sz w:val="24"/>
          <w:szCs w:val="24"/>
        </w:rPr>
        <w:t>КУ</w:t>
      </w:r>
      <w:r w:rsidRPr="00C86E12">
        <w:rPr>
          <w:rFonts w:ascii="Times New Roman" w:hAnsi="Times New Roman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E12">
        <w:rPr>
          <w:rFonts w:ascii="Times New Roman" w:hAnsi="Times New Roman"/>
          <w:sz w:val="24"/>
          <w:szCs w:val="24"/>
        </w:rPr>
        <w:t xml:space="preserve">до тендерної документації </w:t>
      </w:r>
      <w:r w:rsidRPr="00406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предметом «</w:t>
      </w:r>
      <w:r w:rsidR="00D40EFD" w:rsidRPr="00D40EFD">
        <w:rPr>
          <w:rFonts w:ascii="Times New Roman" w:hAnsi="Times New Roman"/>
          <w:sz w:val="24"/>
          <w:szCs w:val="24"/>
        </w:rPr>
        <w:t>Електрична енергія, код 09310000-5 – Електрична енергія за ДК 021:2015 «Єдиний закупівельний словник»</w:t>
      </w:r>
      <w:r>
        <w:rPr>
          <w:rFonts w:ascii="Times New Roman" w:hAnsi="Times New Roman"/>
          <w:sz w:val="24"/>
          <w:szCs w:val="24"/>
        </w:rPr>
        <w:t>»</w:t>
      </w:r>
      <w:r w:rsidRPr="00C86E12">
        <w:rPr>
          <w:rFonts w:ascii="Times New Roman" w:hAnsi="Times New Roman"/>
          <w:sz w:val="24"/>
          <w:szCs w:val="24"/>
        </w:rPr>
        <w:t xml:space="preserve">: </w:t>
      </w:r>
      <w:r w:rsidRPr="00406944">
        <w:rPr>
          <w:rFonts w:ascii="Times New Roman" w:hAnsi="Times New Roman"/>
          <w:sz w:val="24"/>
          <w:szCs w:val="24"/>
        </w:rPr>
        <w:t>(</w:t>
      </w:r>
      <w:r w:rsidR="00635F79" w:rsidRPr="00635F79">
        <w:rPr>
          <w:rFonts w:ascii="Times New Roman" w:hAnsi="Times New Roman"/>
          <w:sz w:val="24"/>
          <w:szCs w:val="24"/>
        </w:rPr>
        <w:t>UA-2022-12-01-012595-a</w:t>
      </w:r>
      <w:r w:rsidRPr="0040694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66D0A31" w14:textId="77777777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02CADF3" w14:textId="77777777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D1A2D4C" w14:textId="77777777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048BDB5" w14:textId="77777777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4253"/>
        <w:gridCol w:w="2696"/>
        <w:gridCol w:w="2895"/>
      </w:tblGrid>
      <w:tr w:rsidR="000D492F" w:rsidRPr="0040596F" w14:paraId="53D32180" w14:textId="77777777" w:rsidTr="00C33F82">
        <w:trPr>
          <w:trHeight w:val="354"/>
        </w:trPr>
        <w:tc>
          <w:tcPr>
            <w:tcW w:w="4253" w:type="dxa"/>
          </w:tcPr>
          <w:p w14:paraId="31A2C7C2" w14:textId="77777777" w:rsidR="000D492F" w:rsidRPr="0040596F" w:rsidRDefault="000D492F" w:rsidP="00C33F82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hAnsi="Times New Roman"/>
                <w:iCs/>
                <w:spacing w:val="-4"/>
                <w:sz w:val="24"/>
                <w:szCs w:val="24"/>
                <w:highlight w:val="yellow"/>
                <w:lang w:val="ru-RU"/>
              </w:rPr>
            </w:pPr>
          </w:p>
          <w:p w14:paraId="4CD632D2" w14:textId="77777777" w:rsidR="000D492F" w:rsidRPr="0040596F" w:rsidRDefault="000D492F" w:rsidP="00C33F82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hAnsi="Times New Roman"/>
                <w:iCs/>
                <w:spacing w:val="-4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роб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оти</w:t>
            </w:r>
            <w:proofErr w:type="spellEnd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зі</w:t>
            </w:r>
            <w:proofErr w:type="spellEnd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старостинськими</w:t>
            </w:r>
            <w:proofErr w:type="spellEnd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округами, </w:t>
            </w:r>
            <w:proofErr w:type="spellStart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закупівель</w:t>
            </w:r>
            <w:proofErr w:type="spellEnd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E0F12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комунікацій</w:t>
            </w:r>
            <w:proofErr w:type="spellEnd"/>
          </w:p>
        </w:tc>
        <w:tc>
          <w:tcPr>
            <w:tcW w:w="2696" w:type="dxa"/>
            <w:vAlign w:val="center"/>
          </w:tcPr>
          <w:p w14:paraId="506877DB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highlight w:val="yellow"/>
                <w:lang w:val="ru-RU"/>
              </w:rPr>
            </w:pPr>
          </w:p>
          <w:p w14:paraId="52CAF708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highlight w:val="yellow"/>
                <w:lang w:val="ru-RU"/>
              </w:rPr>
            </w:pPr>
          </w:p>
          <w:p w14:paraId="4F73CC04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highlight w:val="yellow"/>
                <w:lang w:val="ru-RU"/>
              </w:rPr>
            </w:pPr>
          </w:p>
          <w:p w14:paraId="286694B0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-RU"/>
              </w:rPr>
            </w:pPr>
            <w:r w:rsidRPr="0040596F">
              <w:rPr>
                <w:rFonts w:ascii="Times New Roman" w:eastAsia="Calibri" w:hAnsi="Times New Roman"/>
                <w:sz w:val="16"/>
                <w:szCs w:val="16"/>
                <w:lang w:val="ru-RU"/>
              </w:rPr>
              <w:t>________________</w:t>
            </w:r>
          </w:p>
          <w:p w14:paraId="0262F89C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895" w:type="dxa"/>
            <w:vAlign w:val="center"/>
          </w:tcPr>
          <w:p w14:paraId="29E835E4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  <w:lang w:val="ru-RU"/>
              </w:rPr>
            </w:pPr>
            <w:r w:rsidRPr="0040596F">
              <w:rPr>
                <w:rFonts w:ascii="Times New Roman" w:eastAsia="Calibri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4C682EAB" w14:textId="77777777" w:rsidR="000D492F" w:rsidRPr="0040596F" w:rsidRDefault="000D492F" w:rsidP="00C33F82">
            <w:pPr>
              <w:tabs>
                <w:tab w:val="left" w:pos="144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  <w:lang w:val="ru-RU"/>
              </w:rPr>
            </w:pPr>
            <w:r w:rsidRPr="0040596F">
              <w:rPr>
                <w:rFonts w:ascii="Times New Roman" w:eastAsia="Calibri" w:hAnsi="Times New Roman"/>
                <w:sz w:val="24"/>
                <w:szCs w:val="24"/>
              </w:rPr>
              <w:t xml:space="preserve">       Наталія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ТАБАЧУК</w:t>
            </w:r>
          </w:p>
        </w:tc>
      </w:tr>
    </w:tbl>
    <w:p w14:paraId="65B8FAFF" w14:textId="77777777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EA1">
        <w:rPr>
          <w:rFonts w:ascii="Times New Roman" w:hAnsi="Times New Roman"/>
          <w:sz w:val="24"/>
          <w:szCs w:val="24"/>
        </w:rPr>
        <w:t>(03472)79633</w:t>
      </w:r>
    </w:p>
    <w:p w14:paraId="0481FE21" w14:textId="77777777" w:rsidR="000D492F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9FEE446" w14:textId="77777777" w:rsidR="000D492F" w:rsidRPr="00406944" w:rsidRDefault="000D492F" w:rsidP="000D492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2881252" w14:textId="77777777" w:rsidR="000D492F" w:rsidRPr="00406944" w:rsidRDefault="000D492F" w:rsidP="000D4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392CF" w14:textId="77777777" w:rsidR="000D492F" w:rsidRPr="00406944" w:rsidRDefault="000D492F" w:rsidP="000D4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3B976" w14:textId="77777777" w:rsidR="000D492F" w:rsidRPr="00406944" w:rsidRDefault="000D492F" w:rsidP="000D4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EA86E" w14:textId="77777777" w:rsidR="000D492F" w:rsidRPr="00406944" w:rsidRDefault="000D492F" w:rsidP="000D4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03F27" w14:textId="77777777" w:rsidR="000D492F" w:rsidRDefault="000D492F" w:rsidP="000D49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13A80A" w14:textId="77777777" w:rsidR="000D492F" w:rsidRDefault="000D492F" w:rsidP="000D49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225E9F" w14:textId="77777777" w:rsidR="000D492F" w:rsidRDefault="000D492F" w:rsidP="000D49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94F58A" w14:textId="77777777" w:rsidR="000D492F" w:rsidRDefault="000D492F" w:rsidP="000D492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9CB209" w14:textId="77777777" w:rsidR="000D492F" w:rsidRDefault="000D492F" w:rsidP="000D492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F66C356" w14:textId="77777777" w:rsidR="000D492F" w:rsidRDefault="000D492F" w:rsidP="000D492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4607955" w14:textId="77777777" w:rsidR="000D492F" w:rsidRDefault="000D492F" w:rsidP="000D492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41B8978" w14:textId="77777777" w:rsidR="000D492F" w:rsidRDefault="000D492F" w:rsidP="000D492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6F7A3EA" w14:textId="77777777" w:rsidR="000D492F" w:rsidRDefault="000D492F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B8327" w14:textId="447A6550" w:rsidR="000D492F" w:rsidRDefault="000D492F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8D96AA" w14:textId="20D9C11D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D248B4" w14:textId="0A3C130F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B3EEFB" w14:textId="3AE3E66E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0BDC3B" w14:textId="660CAE34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3FAE1" w14:textId="553C3220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5BCBCC" w14:textId="39A6003D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6407AB" w14:textId="0886F275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1022FC" w14:textId="521AE507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D12252" w14:textId="2E1E8965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89A6DB" w14:textId="0FD2FE1F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BA795" w14:textId="77777777" w:rsidR="00AB1BA6" w:rsidRDefault="00AB1B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20844D" w14:textId="77777777" w:rsidR="000D492F" w:rsidRDefault="000D492F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F70737" w14:textId="77777777" w:rsidR="000D492F" w:rsidRDefault="000D492F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B42F83" w14:textId="77777777" w:rsidR="000D492F" w:rsidRDefault="000D492F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D492F" w:rsidSect="00191685">
      <w:headerReference w:type="default" r:id="rId10"/>
      <w:headerReference w:type="first" r:id="rId11"/>
      <w:pgSz w:w="11906" w:h="16838"/>
      <w:pgMar w:top="568" w:right="566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3366" w14:textId="77777777" w:rsidR="00D85E68" w:rsidRDefault="00D85E68">
      <w:pPr>
        <w:spacing w:after="0" w:line="240" w:lineRule="auto"/>
      </w:pPr>
      <w:r>
        <w:separator/>
      </w:r>
    </w:p>
  </w:endnote>
  <w:endnote w:type="continuationSeparator" w:id="0">
    <w:p w14:paraId="657F7FA9" w14:textId="77777777" w:rsidR="00D85E68" w:rsidRDefault="00D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C2D2" w14:textId="77777777" w:rsidR="00D85E68" w:rsidRDefault="00D85E68">
      <w:pPr>
        <w:spacing w:after="0" w:line="240" w:lineRule="auto"/>
      </w:pPr>
      <w:r>
        <w:separator/>
      </w:r>
    </w:p>
  </w:footnote>
  <w:footnote w:type="continuationSeparator" w:id="0">
    <w:p w14:paraId="7CA8D226" w14:textId="77777777" w:rsidR="00D85E68" w:rsidRDefault="00D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36776"/>
      <w:docPartObj>
        <w:docPartGallery w:val="Page Numbers (Top of Page)"/>
        <w:docPartUnique/>
      </w:docPartObj>
    </w:sdtPr>
    <w:sdtEndPr/>
    <w:sdtContent>
      <w:p w14:paraId="326659E5" w14:textId="5F841C1B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079" w:rsidRPr="006C6079">
          <w:rPr>
            <w:noProof/>
            <w:lang w:val="uk-UA"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4ED5" w14:textId="77777777" w:rsidR="00CD06FF" w:rsidRDefault="00CD06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E7A1332"/>
    <w:multiLevelType w:val="hybridMultilevel"/>
    <w:tmpl w:val="7012C4A2"/>
    <w:lvl w:ilvl="0" w:tplc="8CAAE784">
      <w:start w:val="1"/>
      <w:numFmt w:val="decimal"/>
      <w:lvlText w:val="%1)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1BAE"/>
    <w:multiLevelType w:val="hybridMultilevel"/>
    <w:tmpl w:val="D50E1660"/>
    <w:lvl w:ilvl="0" w:tplc="812C0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F62A23"/>
    <w:multiLevelType w:val="hybridMultilevel"/>
    <w:tmpl w:val="7012C4A2"/>
    <w:lvl w:ilvl="0" w:tplc="8CAAE784">
      <w:start w:val="1"/>
      <w:numFmt w:val="decimal"/>
      <w:lvlText w:val="%1)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10BAD"/>
    <w:multiLevelType w:val="hybridMultilevel"/>
    <w:tmpl w:val="7012C4A2"/>
    <w:lvl w:ilvl="0" w:tplc="8CAAE784">
      <w:start w:val="1"/>
      <w:numFmt w:val="decimal"/>
      <w:lvlText w:val="%1)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3"/>
  </w:num>
  <w:num w:numId="13">
    <w:abstractNumId w:val="16"/>
  </w:num>
  <w:num w:numId="14">
    <w:abstractNumId w:val="17"/>
  </w:num>
  <w:num w:numId="15">
    <w:abstractNumId w:val="10"/>
  </w:num>
  <w:num w:numId="16">
    <w:abstractNumId w:val="2"/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CA"/>
    <w:rsid w:val="0003073F"/>
    <w:rsid w:val="00040FAE"/>
    <w:rsid w:val="00051287"/>
    <w:rsid w:val="00052A81"/>
    <w:rsid w:val="00057BF6"/>
    <w:rsid w:val="00066276"/>
    <w:rsid w:val="00072527"/>
    <w:rsid w:val="00085D4D"/>
    <w:rsid w:val="000871D5"/>
    <w:rsid w:val="00087F4B"/>
    <w:rsid w:val="00094570"/>
    <w:rsid w:val="00097A40"/>
    <w:rsid w:val="000A0812"/>
    <w:rsid w:val="000A3EDD"/>
    <w:rsid w:val="000D2303"/>
    <w:rsid w:val="000D492F"/>
    <w:rsid w:val="000D62F5"/>
    <w:rsid w:val="000F6CAB"/>
    <w:rsid w:val="00102633"/>
    <w:rsid w:val="0010338C"/>
    <w:rsid w:val="00107165"/>
    <w:rsid w:val="001105E3"/>
    <w:rsid w:val="0011115C"/>
    <w:rsid w:val="001123E5"/>
    <w:rsid w:val="0012793F"/>
    <w:rsid w:val="00131E42"/>
    <w:rsid w:val="001505E4"/>
    <w:rsid w:val="00155900"/>
    <w:rsid w:val="0016089B"/>
    <w:rsid w:val="00172BEE"/>
    <w:rsid w:val="00191685"/>
    <w:rsid w:val="00195082"/>
    <w:rsid w:val="00196D28"/>
    <w:rsid w:val="001B69B7"/>
    <w:rsid w:val="001C03F6"/>
    <w:rsid w:val="001C35EC"/>
    <w:rsid w:val="001C730E"/>
    <w:rsid w:val="001D0C58"/>
    <w:rsid w:val="001E1DB8"/>
    <w:rsid w:val="001E535B"/>
    <w:rsid w:val="001F0179"/>
    <w:rsid w:val="001F0E43"/>
    <w:rsid w:val="001F4420"/>
    <w:rsid w:val="001F58EC"/>
    <w:rsid w:val="001F6C17"/>
    <w:rsid w:val="00200A54"/>
    <w:rsid w:val="002137F8"/>
    <w:rsid w:val="00223D16"/>
    <w:rsid w:val="002271C6"/>
    <w:rsid w:val="002340AB"/>
    <w:rsid w:val="002344E7"/>
    <w:rsid w:val="00265BFB"/>
    <w:rsid w:val="00283FB0"/>
    <w:rsid w:val="002855B4"/>
    <w:rsid w:val="00295086"/>
    <w:rsid w:val="002963AC"/>
    <w:rsid w:val="002B4E15"/>
    <w:rsid w:val="002C0B25"/>
    <w:rsid w:val="002C4054"/>
    <w:rsid w:val="002C5E61"/>
    <w:rsid w:val="002D5627"/>
    <w:rsid w:val="002E5602"/>
    <w:rsid w:val="002E60C3"/>
    <w:rsid w:val="002E6754"/>
    <w:rsid w:val="002F31C8"/>
    <w:rsid w:val="002F3EA2"/>
    <w:rsid w:val="002F74A1"/>
    <w:rsid w:val="0030066D"/>
    <w:rsid w:val="00314CB3"/>
    <w:rsid w:val="00341493"/>
    <w:rsid w:val="003417C8"/>
    <w:rsid w:val="00341A99"/>
    <w:rsid w:val="00343580"/>
    <w:rsid w:val="00356A8A"/>
    <w:rsid w:val="003649C5"/>
    <w:rsid w:val="00365A9A"/>
    <w:rsid w:val="003749D8"/>
    <w:rsid w:val="00392258"/>
    <w:rsid w:val="00395476"/>
    <w:rsid w:val="003A0ED0"/>
    <w:rsid w:val="003B7DA4"/>
    <w:rsid w:val="003C5751"/>
    <w:rsid w:val="003D4166"/>
    <w:rsid w:val="003E7F2E"/>
    <w:rsid w:val="003F206B"/>
    <w:rsid w:val="003F45E7"/>
    <w:rsid w:val="003F7911"/>
    <w:rsid w:val="00401900"/>
    <w:rsid w:val="00401E04"/>
    <w:rsid w:val="0040393E"/>
    <w:rsid w:val="004260B2"/>
    <w:rsid w:val="0044424B"/>
    <w:rsid w:val="004547C4"/>
    <w:rsid w:val="00456C0E"/>
    <w:rsid w:val="00457063"/>
    <w:rsid w:val="004621CF"/>
    <w:rsid w:val="004809A6"/>
    <w:rsid w:val="00480ED9"/>
    <w:rsid w:val="00492CCA"/>
    <w:rsid w:val="004C10F8"/>
    <w:rsid w:val="004C183B"/>
    <w:rsid w:val="004D0AF3"/>
    <w:rsid w:val="004D1360"/>
    <w:rsid w:val="004D29BF"/>
    <w:rsid w:val="004D45CE"/>
    <w:rsid w:val="004E5BFE"/>
    <w:rsid w:val="004E7BD0"/>
    <w:rsid w:val="004F70E2"/>
    <w:rsid w:val="00510CFA"/>
    <w:rsid w:val="00524CAD"/>
    <w:rsid w:val="005308AF"/>
    <w:rsid w:val="0055418A"/>
    <w:rsid w:val="00565E16"/>
    <w:rsid w:val="005842B4"/>
    <w:rsid w:val="00597AB0"/>
    <w:rsid w:val="005C2B7F"/>
    <w:rsid w:val="005C4D26"/>
    <w:rsid w:val="005C5183"/>
    <w:rsid w:val="005C57DF"/>
    <w:rsid w:val="005E2ED6"/>
    <w:rsid w:val="006010EE"/>
    <w:rsid w:val="00602C20"/>
    <w:rsid w:val="00613A56"/>
    <w:rsid w:val="006242C5"/>
    <w:rsid w:val="00627EDA"/>
    <w:rsid w:val="00632A80"/>
    <w:rsid w:val="00635F79"/>
    <w:rsid w:val="00652C50"/>
    <w:rsid w:val="006727EC"/>
    <w:rsid w:val="00675380"/>
    <w:rsid w:val="00683A01"/>
    <w:rsid w:val="00690C21"/>
    <w:rsid w:val="0069560C"/>
    <w:rsid w:val="006B3DEC"/>
    <w:rsid w:val="006C6079"/>
    <w:rsid w:val="006D27FC"/>
    <w:rsid w:val="006D4443"/>
    <w:rsid w:val="006D4BC8"/>
    <w:rsid w:val="006E2BF8"/>
    <w:rsid w:val="006E2D4D"/>
    <w:rsid w:val="006F663C"/>
    <w:rsid w:val="007026BE"/>
    <w:rsid w:val="007059B1"/>
    <w:rsid w:val="00705F44"/>
    <w:rsid w:val="00712F82"/>
    <w:rsid w:val="00715476"/>
    <w:rsid w:val="007242A0"/>
    <w:rsid w:val="00725610"/>
    <w:rsid w:val="007341FE"/>
    <w:rsid w:val="007348FD"/>
    <w:rsid w:val="00743B3F"/>
    <w:rsid w:val="00745060"/>
    <w:rsid w:val="00745D9F"/>
    <w:rsid w:val="0075033D"/>
    <w:rsid w:val="0075518B"/>
    <w:rsid w:val="007558CC"/>
    <w:rsid w:val="00767464"/>
    <w:rsid w:val="00767D7E"/>
    <w:rsid w:val="00777B41"/>
    <w:rsid w:val="00781E46"/>
    <w:rsid w:val="007A767A"/>
    <w:rsid w:val="007B4CA6"/>
    <w:rsid w:val="007B58FF"/>
    <w:rsid w:val="007C4256"/>
    <w:rsid w:val="007C6062"/>
    <w:rsid w:val="007E32A3"/>
    <w:rsid w:val="007E7739"/>
    <w:rsid w:val="0080241F"/>
    <w:rsid w:val="00833371"/>
    <w:rsid w:val="00836CAD"/>
    <w:rsid w:val="0085137F"/>
    <w:rsid w:val="0085167E"/>
    <w:rsid w:val="00862A14"/>
    <w:rsid w:val="00864A3B"/>
    <w:rsid w:val="00865CEF"/>
    <w:rsid w:val="00866850"/>
    <w:rsid w:val="00875A92"/>
    <w:rsid w:val="00877B88"/>
    <w:rsid w:val="00880712"/>
    <w:rsid w:val="00885A6C"/>
    <w:rsid w:val="008942FA"/>
    <w:rsid w:val="008B0703"/>
    <w:rsid w:val="008C252A"/>
    <w:rsid w:val="008C6805"/>
    <w:rsid w:val="008F1EA1"/>
    <w:rsid w:val="008F3425"/>
    <w:rsid w:val="008F3BF3"/>
    <w:rsid w:val="009143DE"/>
    <w:rsid w:val="00917D0D"/>
    <w:rsid w:val="009248F7"/>
    <w:rsid w:val="00933430"/>
    <w:rsid w:val="009344DA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52CE"/>
    <w:rsid w:val="00995164"/>
    <w:rsid w:val="009A0975"/>
    <w:rsid w:val="009A4490"/>
    <w:rsid w:val="009D3C42"/>
    <w:rsid w:val="009E172A"/>
    <w:rsid w:val="009F2066"/>
    <w:rsid w:val="00A0690A"/>
    <w:rsid w:val="00A07279"/>
    <w:rsid w:val="00A14475"/>
    <w:rsid w:val="00A1789D"/>
    <w:rsid w:val="00A17B3A"/>
    <w:rsid w:val="00A222A1"/>
    <w:rsid w:val="00A30654"/>
    <w:rsid w:val="00A31906"/>
    <w:rsid w:val="00A3378D"/>
    <w:rsid w:val="00A47FBD"/>
    <w:rsid w:val="00A55888"/>
    <w:rsid w:val="00A55EFE"/>
    <w:rsid w:val="00A9164E"/>
    <w:rsid w:val="00AA0A5B"/>
    <w:rsid w:val="00AA2120"/>
    <w:rsid w:val="00AA55E8"/>
    <w:rsid w:val="00AB0A2D"/>
    <w:rsid w:val="00AB0B21"/>
    <w:rsid w:val="00AB1BA6"/>
    <w:rsid w:val="00AB639E"/>
    <w:rsid w:val="00AC1133"/>
    <w:rsid w:val="00AC1F58"/>
    <w:rsid w:val="00AD065F"/>
    <w:rsid w:val="00AE4849"/>
    <w:rsid w:val="00AE5FF1"/>
    <w:rsid w:val="00AF45C7"/>
    <w:rsid w:val="00AF4AE1"/>
    <w:rsid w:val="00B10EAE"/>
    <w:rsid w:val="00B12C8A"/>
    <w:rsid w:val="00B22D64"/>
    <w:rsid w:val="00B32AC3"/>
    <w:rsid w:val="00B37B56"/>
    <w:rsid w:val="00B37FA0"/>
    <w:rsid w:val="00B56181"/>
    <w:rsid w:val="00B56422"/>
    <w:rsid w:val="00B65BEB"/>
    <w:rsid w:val="00B65C1A"/>
    <w:rsid w:val="00B664FD"/>
    <w:rsid w:val="00B73A72"/>
    <w:rsid w:val="00B8268F"/>
    <w:rsid w:val="00B8480E"/>
    <w:rsid w:val="00B911C3"/>
    <w:rsid w:val="00B94439"/>
    <w:rsid w:val="00BA4112"/>
    <w:rsid w:val="00BB3C5A"/>
    <w:rsid w:val="00BC7315"/>
    <w:rsid w:val="00BD25DB"/>
    <w:rsid w:val="00BE2272"/>
    <w:rsid w:val="00BF0CD9"/>
    <w:rsid w:val="00C0446D"/>
    <w:rsid w:val="00C07273"/>
    <w:rsid w:val="00C104D9"/>
    <w:rsid w:val="00C11B3F"/>
    <w:rsid w:val="00C16B3F"/>
    <w:rsid w:val="00C2302B"/>
    <w:rsid w:val="00C241CE"/>
    <w:rsid w:val="00C33797"/>
    <w:rsid w:val="00C415A7"/>
    <w:rsid w:val="00C4325A"/>
    <w:rsid w:val="00C503CB"/>
    <w:rsid w:val="00C5149B"/>
    <w:rsid w:val="00C52144"/>
    <w:rsid w:val="00C5218B"/>
    <w:rsid w:val="00C63840"/>
    <w:rsid w:val="00C708C9"/>
    <w:rsid w:val="00C708F2"/>
    <w:rsid w:val="00C73677"/>
    <w:rsid w:val="00C93CC5"/>
    <w:rsid w:val="00C974A8"/>
    <w:rsid w:val="00CA3593"/>
    <w:rsid w:val="00CB4F74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10056"/>
    <w:rsid w:val="00D15866"/>
    <w:rsid w:val="00D21486"/>
    <w:rsid w:val="00D22E07"/>
    <w:rsid w:val="00D255C1"/>
    <w:rsid w:val="00D40EFD"/>
    <w:rsid w:val="00D425F8"/>
    <w:rsid w:val="00D427D4"/>
    <w:rsid w:val="00D44801"/>
    <w:rsid w:val="00D4630D"/>
    <w:rsid w:val="00D56BCD"/>
    <w:rsid w:val="00D80A64"/>
    <w:rsid w:val="00D85E68"/>
    <w:rsid w:val="00D8646A"/>
    <w:rsid w:val="00D92FC7"/>
    <w:rsid w:val="00DC322E"/>
    <w:rsid w:val="00DC561C"/>
    <w:rsid w:val="00DD4B8B"/>
    <w:rsid w:val="00DD7C63"/>
    <w:rsid w:val="00DE1AC3"/>
    <w:rsid w:val="00DE6B86"/>
    <w:rsid w:val="00DF0048"/>
    <w:rsid w:val="00E2207A"/>
    <w:rsid w:val="00E23CB3"/>
    <w:rsid w:val="00E32CAB"/>
    <w:rsid w:val="00E335BA"/>
    <w:rsid w:val="00E43418"/>
    <w:rsid w:val="00E5136E"/>
    <w:rsid w:val="00E732DA"/>
    <w:rsid w:val="00E74A63"/>
    <w:rsid w:val="00E9051E"/>
    <w:rsid w:val="00E97188"/>
    <w:rsid w:val="00EA2F18"/>
    <w:rsid w:val="00EA6B80"/>
    <w:rsid w:val="00EC5C5F"/>
    <w:rsid w:val="00EC6E2D"/>
    <w:rsid w:val="00ED1E34"/>
    <w:rsid w:val="00F327C7"/>
    <w:rsid w:val="00F41541"/>
    <w:rsid w:val="00F52ED8"/>
    <w:rsid w:val="00F548D9"/>
    <w:rsid w:val="00F574AA"/>
    <w:rsid w:val="00F64DC6"/>
    <w:rsid w:val="00F841D9"/>
    <w:rsid w:val="00F94739"/>
    <w:rsid w:val="00F95E10"/>
    <w:rsid w:val="00FC462F"/>
    <w:rsid w:val="00FC505B"/>
    <w:rsid w:val="00FE0486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ечания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qFormat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ый HTML Знак"/>
    <w:basedOn w:val="a0"/>
    <w:link w:val="HTML"/>
    <w:qFormat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uiPriority w:val="99"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aliases w:val="название табл/рис,Список уровня 2,Bullet Number,Bullet 1,Use Case List Paragraph,lp1,List Paragraph1,lp11,List Paragraph11,List Paragraph (numbered (a)),заголовок 1.1,Chapter10,List Paragraph"/>
    <w:basedOn w:val="a"/>
    <w:link w:val="af1"/>
    <w:uiPriority w:val="34"/>
    <w:qFormat/>
    <w:rsid w:val="000B3F01"/>
    <w:pPr>
      <w:ind w:left="720"/>
      <w:contextualSpacing/>
    </w:pPr>
  </w:style>
  <w:style w:type="character" w:styleId="af2">
    <w:name w:val="FollowedHyperlink"/>
    <w:rsid w:val="000B3F01"/>
    <w:rPr>
      <w:color w:val="954F72"/>
      <w:u w:val="single"/>
    </w:rPr>
  </w:style>
  <w:style w:type="paragraph" w:styleId="af3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f4"/>
    <w:uiPriority w:val="99"/>
    <w:unhideWhenUsed/>
    <w:qFormat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5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6">
    <w:name w:val="Body Text"/>
    <w:basedOn w:val="a"/>
    <w:link w:val="af7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7">
    <w:name w:val="Основной текст Знак"/>
    <w:basedOn w:val="a0"/>
    <w:link w:val="af6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8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9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a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b">
    <w:name w:val="endnote text"/>
    <w:basedOn w:val="a"/>
    <w:link w:val="afc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d">
    <w:name w:val="endnote reference"/>
    <w:uiPriority w:val="99"/>
    <w:semiHidden/>
    <w:unhideWhenUsed/>
    <w:rsid w:val="000B3F01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f0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9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af1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List Paragraph (numbered (a)) Знак,заголовок 1.1 Знак"/>
    <w:link w:val="af0"/>
    <w:uiPriority w:val="34"/>
    <w:rsid w:val="004D45CE"/>
    <w:rPr>
      <w:rFonts w:eastAsia="Times New Roman" w:cs="Times New Roman"/>
    </w:rPr>
  </w:style>
  <w:style w:type="character" w:customStyle="1" w:styleId="HTML1">
    <w:name w:val="Стандартный HTML Знак1"/>
    <w:qFormat/>
    <w:locked/>
    <w:rsid w:val="00AC1F58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C2B7F"/>
    <w:rPr>
      <w:color w:val="605E5C"/>
      <w:shd w:val="clear" w:color="auto" w:fill="E1DFDD"/>
    </w:rPr>
  </w:style>
  <w:style w:type="character" w:customStyle="1" w:styleId="22">
    <w:name w:val="Основной текст (2) + Полужирный"/>
    <w:rsid w:val="003E7F2E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60">
    <w:name w:val="Основной текст (6)_"/>
    <w:link w:val="61"/>
    <w:rsid w:val="003E7F2E"/>
    <w:rPr>
      <w:b/>
      <w:bCs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3E7F2E"/>
    <w:pPr>
      <w:widowControl w:val="0"/>
      <w:shd w:val="clear" w:color="auto" w:fill="FFFFFF"/>
      <w:spacing w:before="300" w:after="0" w:line="0" w:lineRule="atLeast"/>
    </w:pPr>
    <w:rPr>
      <w:rFonts w:eastAsia="Calibri" w:cs="Calibri"/>
      <w:b/>
      <w:bCs/>
      <w:sz w:val="16"/>
      <w:szCs w:val="16"/>
    </w:rPr>
  </w:style>
  <w:style w:type="character" w:customStyle="1" w:styleId="28pt">
    <w:name w:val="Основной текст (2) + 8 pt"/>
    <w:aliases w:val="Полужирный"/>
    <w:rsid w:val="003E7F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uk-UA" w:eastAsia="uk-UA" w:bidi="uk-UA"/>
    </w:rPr>
  </w:style>
  <w:style w:type="character" w:customStyle="1" w:styleId="311pt">
    <w:name w:val="Основной текст (3) + 11 pt"/>
    <w:aliases w:val="Интервал 0 pt"/>
    <w:rsid w:val="003E7F2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uk-UA" w:eastAsia="uk-UA" w:bidi="uk-UA"/>
    </w:rPr>
  </w:style>
  <w:style w:type="character" w:customStyle="1" w:styleId="af4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f3"/>
    <w:uiPriority w:val="99"/>
    <w:locked/>
    <w:rsid w:val="000D492F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7">
    <w:name w:val="Сітка таблиці1"/>
    <w:basedOn w:val="a1"/>
    <w:next w:val="af9"/>
    <w:uiPriority w:val="59"/>
    <w:unhideWhenUsed/>
    <w:rsid w:val="000D492F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re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D1E685-D6A1-4E6A-93B8-8EF2B169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3509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Admin</cp:lastModifiedBy>
  <cp:revision>33</cp:revision>
  <cp:lastPrinted>2022-12-01T14:21:00Z</cp:lastPrinted>
  <dcterms:created xsi:type="dcterms:W3CDTF">2022-11-29T08:46:00Z</dcterms:created>
  <dcterms:modified xsi:type="dcterms:W3CDTF">2022-12-01T14:50:00Z</dcterms:modified>
</cp:coreProperties>
</file>