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6D89" w14:textId="0588ED93" w:rsidR="006226EB" w:rsidRPr="00FE28D6" w:rsidRDefault="006226EB" w:rsidP="0081259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10EDAD8" w14:textId="77777777" w:rsidR="006226EB" w:rsidRDefault="006226EB" w:rsidP="0081259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3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10"/>
      </w:tblGrid>
      <w:tr w:rsidR="00A936E9" w14:paraId="6CD80D18" w14:textId="77777777" w:rsidTr="00CA03E5">
        <w:tc>
          <w:tcPr>
            <w:tcW w:w="4650" w:type="dxa"/>
          </w:tcPr>
          <w:p w14:paraId="06D425DC" w14:textId="77777777" w:rsidR="00A936E9" w:rsidRDefault="00A936E9" w:rsidP="00812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</w:tcPr>
          <w:p w14:paraId="3DEA70EB" w14:textId="77777777" w:rsidR="00BB36EC" w:rsidRDefault="00BB36EC" w:rsidP="008125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управлління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D165E0" w14:textId="65FAC2C8" w:rsidR="00A936E9" w:rsidRDefault="00BB36EC" w:rsidP="008125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600F6392" w14:textId="2C2A78D7" w:rsidR="00BB36EC" w:rsidRPr="0081259F" w:rsidRDefault="00BB36EC" w:rsidP="008125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Люклян</w:t>
            </w:r>
            <w:proofErr w:type="spellEnd"/>
          </w:p>
          <w:p w14:paraId="0B3E3731" w14:textId="77777777" w:rsidR="00A936E9" w:rsidRDefault="00A936E9" w:rsidP="0081259F">
            <w:pPr>
              <w:rPr>
                <w:rFonts w:ascii="Times New Roman" w:hAnsi="Times New Roman" w:cs="Times New Roman"/>
              </w:rPr>
            </w:pPr>
          </w:p>
        </w:tc>
      </w:tr>
    </w:tbl>
    <w:p w14:paraId="377B37B2" w14:textId="77777777" w:rsidR="00A936E9" w:rsidRDefault="00A936E9" w:rsidP="00CA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489C0" w14:textId="77777777" w:rsidR="00A936E9" w:rsidRPr="00406944" w:rsidRDefault="00A936E9" w:rsidP="00CA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7BAB8" w14:textId="1C272A75" w:rsidR="00CA03E5" w:rsidRPr="00CA03E5" w:rsidRDefault="00CA03E5" w:rsidP="00CA03E5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CA03E5">
        <w:rPr>
          <w:rFonts w:ascii="Times New Roman" w:hAnsi="Times New Roman" w:cs="Times New Roman"/>
          <w:sz w:val="24"/>
          <w:szCs w:val="24"/>
        </w:rPr>
        <w:t xml:space="preserve">    </w:t>
      </w:r>
      <w:r w:rsidR="00A936E9" w:rsidRPr="00CA03E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до Закону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«Про доступ до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публічної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відділ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координації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старостинськими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округами,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комунікацій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Калуської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ради просить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розмістити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Калуської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A03E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936E9" w:rsidRPr="00CA03E5">
        <w:rPr>
          <w:rFonts w:ascii="Times New Roman" w:hAnsi="Times New Roman" w:cs="Times New Roman"/>
          <w:sz w:val="24"/>
          <w:szCs w:val="24"/>
        </w:rPr>
        <w:t>1</w:t>
      </w:r>
      <w:r w:rsidRPr="00CA03E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A936E9" w:rsidRPr="00CA03E5">
        <w:rPr>
          <w:rFonts w:ascii="Times New Roman" w:hAnsi="Times New Roman" w:cs="Times New Roman"/>
          <w:sz w:val="24"/>
          <w:szCs w:val="24"/>
        </w:rPr>
        <w:t>.</w:t>
      </w:r>
      <w:r w:rsidR="00A936E9" w:rsidRPr="00CA03E5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A936E9" w:rsidRPr="00CA03E5">
        <w:rPr>
          <w:rFonts w:ascii="Times New Roman" w:hAnsi="Times New Roman" w:cs="Times New Roman"/>
          <w:sz w:val="24"/>
          <w:szCs w:val="24"/>
        </w:rPr>
        <w:t>.2022</w:t>
      </w:r>
      <w:r w:rsidR="008F21DB" w:rsidRPr="00CA03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36E9" w:rsidRPr="00CA03E5">
        <w:rPr>
          <w:rFonts w:ascii="Times New Roman" w:hAnsi="Times New Roman" w:cs="Times New Roman"/>
          <w:sz w:val="24"/>
          <w:szCs w:val="24"/>
        </w:rPr>
        <w:t>р</w:t>
      </w:r>
      <w:r w:rsidR="008F21DB" w:rsidRPr="00CA03E5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="00A936E9" w:rsidRPr="00CA03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електронній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публічних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оголошено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відкриті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торги за предметом </w:t>
      </w:r>
      <w:bookmarkStart w:id="0" w:name="_Hlk75960696"/>
      <w:r w:rsidRPr="00CA03E5">
        <w:rPr>
          <w:rFonts w:ascii="Times New Roman" w:hAnsi="Times New Roman" w:cs="Times New Roman"/>
          <w:sz w:val="24"/>
          <w:szCs w:val="24"/>
          <w:lang w:val="uk-UA"/>
        </w:rPr>
        <w:t xml:space="preserve">Природний газ </w:t>
      </w:r>
      <w:r w:rsidRPr="00CA03E5">
        <w:rPr>
          <w:rFonts w:ascii="Times New Roman" w:hAnsi="Times New Roman" w:cs="Times New Roman"/>
          <w:sz w:val="24"/>
          <w:szCs w:val="24"/>
        </w:rPr>
        <w:t xml:space="preserve">код за ДК 021:2015 09120000-6 </w:t>
      </w:r>
      <w:proofErr w:type="spellStart"/>
      <w:r w:rsidRPr="00CA03E5">
        <w:rPr>
          <w:rFonts w:ascii="Times New Roman" w:hAnsi="Times New Roman" w:cs="Times New Roman"/>
          <w:sz w:val="24"/>
          <w:szCs w:val="24"/>
        </w:rPr>
        <w:t>Газове</w:t>
      </w:r>
      <w:proofErr w:type="spellEnd"/>
      <w:r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3E5">
        <w:rPr>
          <w:rFonts w:ascii="Times New Roman" w:hAnsi="Times New Roman" w:cs="Times New Roman"/>
          <w:sz w:val="24"/>
          <w:szCs w:val="24"/>
        </w:rPr>
        <w:t>паливо</w:t>
      </w:r>
      <w:proofErr w:type="spellEnd"/>
      <w:r w:rsidRPr="00CA03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03E5">
        <w:rPr>
          <w:rFonts w:ascii="Times New Roman" w:hAnsi="Times New Roman" w:cs="Times New Roman"/>
          <w:sz w:val="24"/>
          <w:szCs w:val="24"/>
        </w:rPr>
        <w:t xml:space="preserve">(ДК 021:2015: 09123000-7 </w:t>
      </w:r>
      <w:proofErr w:type="spellStart"/>
      <w:r w:rsidRPr="00CA03E5">
        <w:rPr>
          <w:rFonts w:ascii="Times New Roman" w:hAnsi="Times New Roman" w:cs="Times New Roman"/>
          <w:sz w:val="24"/>
          <w:szCs w:val="24"/>
        </w:rPr>
        <w:t>Природнии</w:t>
      </w:r>
      <w:proofErr w:type="spellEnd"/>
      <w:r w:rsidRPr="00CA03E5">
        <w:rPr>
          <w:rFonts w:ascii="Times New Roman" w:hAnsi="Times New Roman" w:cs="Times New Roman"/>
          <w:sz w:val="24"/>
          <w:szCs w:val="24"/>
        </w:rPr>
        <w:t>̆ газ</w:t>
      </w:r>
      <w:proofErr w:type="gramStart"/>
      <w:r w:rsidRPr="00CA03E5">
        <w:rPr>
          <w:rFonts w:ascii="Times New Roman" w:hAnsi="Times New Roman" w:cs="Times New Roman"/>
          <w:sz w:val="24"/>
          <w:szCs w:val="24"/>
        </w:rPr>
        <w:t>)</w:t>
      </w:r>
      <w:r w:rsidRPr="00CA03E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936E9" w:rsidRPr="00CA03E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936E9" w:rsidRPr="00CA03E5">
        <w:rPr>
          <w:rFonts w:ascii="Times New Roman" w:hAnsi="Times New Roman" w:cs="Times New Roman"/>
          <w:sz w:val="24"/>
          <w:szCs w:val="24"/>
        </w:rPr>
        <w:t>ID:</w:t>
      </w:r>
      <w:bookmarkEnd w:id="0"/>
      <w:r w:rsidRPr="00CA03E5">
        <w:rPr>
          <w:rFonts w:ascii="Times New Roman" w:hAnsi="Times New Roman" w:cs="Times New Roman"/>
          <w:sz w:val="24"/>
          <w:szCs w:val="24"/>
        </w:rPr>
        <w:t xml:space="preserve"> UA-2022-11-16-012206-a) </w:t>
      </w:r>
      <w:r w:rsidR="00A936E9" w:rsidRPr="00CA03E5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 w:rsidRPr="00CA03E5">
        <w:rPr>
          <w:rFonts w:ascii="Times New Roman" w:hAnsi="Times New Roman" w:cs="Times New Roman"/>
          <w:sz w:val="24"/>
          <w:szCs w:val="24"/>
        </w:rPr>
        <w:t xml:space="preserve">273 205,40 </w:t>
      </w:r>
      <w:r w:rsidR="00E6464C" w:rsidRPr="00CA03E5">
        <w:rPr>
          <w:rFonts w:ascii="Times New Roman" w:hAnsi="Times New Roman" w:cs="Times New Roman"/>
          <w:sz w:val="24"/>
          <w:szCs w:val="24"/>
        </w:rPr>
        <w:t>грн</w:t>
      </w:r>
      <w:r w:rsidR="00A936E9" w:rsidRPr="00CA03E5">
        <w:rPr>
          <w:rFonts w:ascii="Times New Roman" w:hAnsi="Times New Roman" w:cs="Times New Roman"/>
          <w:sz w:val="24"/>
          <w:szCs w:val="24"/>
        </w:rPr>
        <w:t>.</w:t>
      </w:r>
    </w:p>
    <w:p w14:paraId="50DE016C" w14:textId="69D33A7B" w:rsidR="00A936E9" w:rsidRPr="00CA03E5" w:rsidRDefault="00CA03E5" w:rsidP="00CA03E5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CA03E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936E9" w:rsidRPr="00CA03E5">
        <w:rPr>
          <w:rFonts w:ascii="Times New Roman" w:hAnsi="Times New Roman" w:cs="Times New Roman"/>
          <w:sz w:val="24"/>
          <w:szCs w:val="24"/>
        </w:rPr>
        <w:t xml:space="preserve">З метою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Постанови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2016 року № 710 (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характеристик предмета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 xml:space="preserve"> за предметом </w:t>
      </w:r>
      <w:r w:rsidR="008F21DB" w:rsidRPr="00CA03E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F21DB" w:rsidRPr="00CA03E5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="008F21DB" w:rsidRPr="00CA03E5">
        <w:rPr>
          <w:rFonts w:ascii="Times New Roman" w:hAnsi="Times New Roman" w:cs="Times New Roman"/>
          <w:sz w:val="24"/>
          <w:szCs w:val="24"/>
        </w:rPr>
        <w:t xml:space="preserve"> газ ДК 021:2015 09120000-6 — </w:t>
      </w:r>
      <w:proofErr w:type="spellStart"/>
      <w:r w:rsidR="008F21DB" w:rsidRPr="00CA03E5">
        <w:rPr>
          <w:rFonts w:ascii="Times New Roman" w:hAnsi="Times New Roman" w:cs="Times New Roman"/>
          <w:sz w:val="24"/>
          <w:szCs w:val="24"/>
        </w:rPr>
        <w:t>Газове</w:t>
      </w:r>
      <w:proofErr w:type="spellEnd"/>
      <w:r w:rsidR="008F21DB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1DB" w:rsidRPr="00CA03E5">
        <w:rPr>
          <w:rFonts w:ascii="Times New Roman" w:hAnsi="Times New Roman" w:cs="Times New Roman"/>
          <w:sz w:val="24"/>
          <w:szCs w:val="24"/>
        </w:rPr>
        <w:t>паливо</w:t>
      </w:r>
      <w:proofErr w:type="spellEnd"/>
      <w:r w:rsidR="008F21DB" w:rsidRPr="00CA03E5">
        <w:rPr>
          <w:rFonts w:ascii="Times New Roman" w:hAnsi="Times New Roman" w:cs="Times New Roman"/>
          <w:sz w:val="24"/>
          <w:szCs w:val="24"/>
        </w:rPr>
        <w:t xml:space="preserve"> (код ДК 021: 2015 09123000-7 </w:t>
      </w:r>
      <w:proofErr w:type="spellStart"/>
      <w:r w:rsidR="008F21DB" w:rsidRPr="00CA03E5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="008F21DB" w:rsidRPr="00CA03E5">
        <w:rPr>
          <w:rFonts w:ascii="Times New Roman" w:hAnsi="Times New Roman" w:cs="Times New Roman"/>
          <w:sz w:val="24"/>
          <w:szCs w:val="24"/>
        </w:rPr>
        <w:t xml:space="preserve"> газ)» (ID: UA-2022-11-16-012206-a)</w:t>
      </w:r>
      <w:r w:rsidR="00A936E9" w:rsidRPr="00CA03E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A936E9" w:rsidRPr="00CA03E5">
        <w:rPr>
          <w:rFonts w:ascii="Times New Roman" w:hAnsi="Times New Roman" w:cs="Times New Roman"/>
          <w:sz w:val="24"/>
          <w:szCs w:val="24"/>
        </w:rPr>
        <w:t>повідомляємо</w:t>
      </w:r>
      <w:proofErr w:type="spellEnd"/>
      <w:r w:rsidR="00A936E9" w:rsidRPr="00CA03E5">
        <w:rPr>
          <w:rFonts w:ascii="Times New Roman" w:hAnsi="Times New Roman" w:cs="Times New Roman"/>
          <w:sz w:val="24"/>
          <w:szCs w:val="24"/>
        </w:rPr>
        <w:t>:</w:t>
      </w:r>
    </w:p>
    <w:p w14:paraId="6FE97A9A" w14:textId="77777777" w:rsidR="00A936E9" w:rsidRPr="00CA03E5" w:rsidRDefault="00A936E9" w:rsidP="00CA03E5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6B115523" w14:textId="151B3567" w:rsidR="00A936E9" w:rsidRPr="00CA03E5" w:rsidRDefault="00BB36EC" w:rsidP="00CA03E5">
      <w:pPr>
        <w:spacing w:before="20"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proofErr w:type="spellStart"/>
      <w:r w:rsidR="00A936E9" w:rsidRPr="00CA03E5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="00A936E9" w:rsidRPr="00CA03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36E9" w:rsidRPr="00CA03E5">
        <w:rPr>
          <w:rFonts w:ascii="Times New Roman" w:hAnsi="Times New Roman" w:cs="Times New Roman"/>
          <w:b/>
          <w:sz w:val="24"/>
          <w:szCs w:val="24"/>
        </w:rPr>
        <w:t>розміру</w:t>
      </w:r>
      <w:proofErr w:type="spellEnd"/>
      <w:r w:rsidR="00A936E9" w:rsidRPr="00CA03E5">
        <w:rPr>
          <w:rFonts w:ascii="Times New Roman" w:hAnsi="Times New Roman" w:cs="Times New Roman"/>
          <w:b/>
          <w:sz w:val="24"/>
          <w:szCs w:val="24"/>
        </w:rPr>
        <w:t xml:space="preserve"> бюджетного </w:t>
      </w:r>
      <w:proofErr w:type="spellStart"/>
      <w:r w:rsidR="00A936E9" w:rsidRPr="00CA03E5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="00A936E9" w:rsidRPr="00CA03E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58B68A8" w14:textId="77777777" w:rsidR="00161FB1" w:rsidRPr="00CA03E5" w:rsidRDefault="00161FB1" w:rsidP="00CA03E5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11FBAC30" w14:textId="1985A504" w:rsidR="00A936E9" w:rsidRPr="00CA03E5" w:rsidRDefault="00CA03E5" w:rsidP="00CA03E5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r w:rsidR="00161FB1" w:rsidRPr="00CA03E5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="00161FB1" w:rsidRPr="00CA03E5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="00161FB1" w:rsidRPr="00CA03E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="00161FB1" w:rsidRPr="00CA03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1FB1" w:rsidRPr="00CA03E5">
        <w:rPr>
          <w:rFonts w:ascii="Times New Roman" w:hAnsi="Times New Roman" w:cs="Times New Roman"/>
          <w:sz w:val="24"/>
          <w:szCs w:val="24"/>
        </w:rPr>
        <w:t>визначений</w:t>
      </w:r>
      <w:proofErr w:type="spellEnd"/>
      <w:r w:rsidR="00161FB1" w:rsidRPr="00CA03E5">
        <w:rPr>
          <w:rFonts w:ascii="Times New Roman" w:hAnsi="Times New Roman" w:cs="Times New Roman"/>
          <w:sz w:val="24"/>
          <w:szCs w:val="24"/>
        </w:rPr>
        <w:t xml:space="preserve"> відповідно до потреби на 2023 р. ( в період 01.01.2023-31.03.2023 р.) та на підставі затверджених тарифів на постачання природного газу для бюджетних установ Постановою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</w:p>
    <w:p w14:paraId="4E873C57" w14:textId="77777777" w:rsidR="00161FB1" w:rsidRPr="00CA03E5" w:rsidRDefault="00161FB1" w:rsidP="00CA03E5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7F096EFF" w14:textId="4FDC6EE8" w:rsidR="00A936E9" w:rsidRPr="00CA03E5" w:rsidRDefault="00A936E9" w:rsidP="00BB36EC">
      <w:pPr>
        <w:spacing w:before="20"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03E5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CA03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3E5">
        <w:rPr>
          <w:rFonts w:ascii="Times New Roman" w:hAnsi="Times New Roman" w:cs="Times New Roman"/>
          <w:b/>
          <w:sz w:val="24"/>
          <w:szCs w:val="24"/>
        </w:rPr>
        <w:t>очікуваної</w:t>
      </w:r>
      <w:proofErr w:type="spellEnd"/>
      <w:r w:rsidRPr="00CA03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3E5">
        <w:rPr>
          <w:rFonts w:ascii="Times New Roman" w:hAnsi="Times New Roman" w:cs="Times New Roman"/>
          <w:b/>
          <w:sz w:val="24"/>
          <w:szCs w:val="24"/>
        </w:rPr>
        <w:t>вартість</w:t>
      </w:r>
      <w:proofErr w:type="spellEnd"/>
      <w:r w:rsidRPr="00CA03E5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CA03E5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CA03E5">
        <w:rPr>
          <w:rFonts w:ascii="Times New Roman" w:hAnsi="Times New Roman" w:cs="Times New Roman"/>
          <w:b/>
          <w:sz w:val="24"/>
          <w:szCs w:val="24"/>
        </w:rPr>
        <w:t>:</w:t>
      </w:r>
    </w:p>
    <w:p w14:paraId="27F42A5E" w14:textId="77777777" w:rsidR="00A936E9" w:rsidRPr="00CA03E5" w:rsidRDefault="00A936E9" w:rsidP="00BB36EC">
      <w:pPr>
        <w:spacing w:before="20"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5A5D7" w14:textId="4763B624" w:rsidR="00161FB1" w:rsidRPr="00CA03E5" w:rsidRDefault="00CA03E5" w:rsidP="00CA03E5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r w:rsidR="00161FB1" w:rsidRPr="00CA03E5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="00161FB1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="00161FB1" w:rsidRPr="00CA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="00161FB1" w:rsidRPr="00CA03E5">
        <w:rPr>
          <w:rFonts w:ascii="Times New Roman" w:hAnsi="Times New Roman" w:cs="Times New Roman"/>
          <w:sz w:val="24"/>
          <w:szCs w:val="24"/>
        </w:rPr>
        <w:t xml:space="preserve"> предмета закупівлі </w:t>
      </w:r>
      <w:r w:rsidR="006226EB" w:rsidRPr="00CA03E5">
        <w:rPr>
          <w:rFonts w:ascii="Times New Roman" w:hAnsi="Times New Roman" w:cs="Times New Roman"/>
          <w:sz w:val="24"/>
          <w:szCs w:val="24"/>
        </w:rPr>
        <w:t>в</w:t>
      </w:r>
      <w:r w:rsidR="00161FB1" w:rsidRPr="00CA03E5">
        <w:rPr>
          <w:rFonts w:ascii="Times New Roman" w:hAnsi="Times New Roman" w:cs="Times New Roman"/>
          <w:sz w:val="24"/>
          <w:szCs w:val="24"/>
        </w:rPr>
        <w:t>изначається з урахуванням положень Закону України «Про ринок природного газу»,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доповненнями, внесеними постановою Кабінету Міністрів України від 29.07.2022 N 839), Постановою Національної комісії, що здійснює державне регулювання у сферах енергетики та комунальних послуг від 30.09.2015 № 2496 «Про затвердження Правил постачання природного газу», Постановою НКРЕКП від 30.09.2015 № 2493 «Про затвердження Кодексу газотранспортної системи», Постановою НКРЕКП від 30.09.2015 № 2494 «Про затвердження Кодексу газорозподільних систем», Постановою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</w:t>
      </w:r>
    </w:p>
    <w:p w14:paraId="00CECCAC" w14:textId="77777777" w:rsidR="00A936E9" w:rsidRPr="00CA03E5" w:rsidRDefault="00A936E9" w:rsidP="00CA03E5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188E9F41" w14:textId="77777777" w:rsidR="00A936E9" w:rsidRPr="00CA03E5" w:rsidRDefault="00A936E9" w:rsidP="00BB36EC">
      <w:pPr>
        <w:spacing w:before="20"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3E5">
        <w:rPr>
          <w:rFonts w:ascii="Times New Roman" w:hAnsi="Times New Roman" w:cs="Times New Roman"/>
          <w:b/>
          <w:sz w:val="24"/>
          <w:szCs w:val="24"/>
        </w:rPr>
        <w:t xml:space="preserve">Технічні та якісні </w:t>
      </w:r>
      <w:proofErr w:type="gramStart"/>
      <w:r w:rsidRPr="00CA03E5">
        <w:rPr>
          <w:rFonts w:ascii="Times New Roman" w:hAnsi="Times New Roman" w:cs="Times New Roman"/>
          <w:b/>
          <w:sz w:val="24"/>
          <w:szCs w:val="24"/>
        </w:rPr>
        <w:t>характеристики  предмета</w:t>
      </w:r>
      <w:proofErr w:type="gramEnd"/>
      <w:r w:rsidRPr="00CA03E5">
        <w:rPr>
          <w:rFonts w:ascii="Times New Roman" w:hAnsi="Times New Roman" w:cs="Times New Roman"/>
          <w:b/>
          <w:sz w:val="24"/>
          <w:szCs w:val="24"/>
        </w:rPr>
        <w:t xml:space="preserve"> закупівлі :</w:t>
      </w:r>
    </w:p>
    <w:p w14:paraId="29F3868C" w14:textId="130184ED" w:rsidR="00A936E9" w:rsidRPr="00CA03E5" w:rsidRDefault="00A936E9" w:rsidP="00CA03E5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646C1EBD" w14:textId="243AC2A8" w:rsidR="00161FB1" w:rsidRPr="00CA03E5" w:rsidRDefault="00161FB1" w:rsidP="00CA03E5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CA03E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A03E5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CA03E5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CA03E5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CA03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A03E5" w:rsidRPr="00CA03E5">
        <w:rPr>
          <w:rFonts w:ascii="Times New Roman" w:hAnsi="Times New Roman" w:cs="Times New Roman"/>
          <w:sz w:val="24"/>
          <w:szCs w:val="24"/>
        </w:rPr>
        <w:t>Природнии</w:t>
      </w:r>
      <w:proofErr w:type="spellEnd"/>
      <w:r w:rsidR="00CA03E5" w:rsidRPr="00CA03E5">
        <w:rPr>
          <w:rFonts w:ascii="Times New Roman" w:hAnsi="Times New Roman" w:cs="Times New Roman"/>
          <w:sz w:val="24"/>
          <w:szCs w:val="24"/>
        </w:rPr>
        <w:t xml:space="preserve">̆ газ код за ДК 021:2015 09120000-6 Газове паливо (ДК 021:2015: 09123000-7 </w:t>
      </w:r>
      <w:proofErr w:type="spellStart"/>
      <w:r w:rsidR="00CA03E5" w:rsidRPr="00CA03E5">
        <w:rPr>
          <w:rFonts w:ascii="Times New Roman" w:hAnsi="Times New Roman" w:cs="Times New Roman"/>
          <w:sz w:val="24"/>
          <w:szCs w:val="24"/>
        </w:rPr>
        <w:t>Природнии</w:t>
      </w:r>
      <w:proofErr w:type="spellEnd"/>
      <w:r w:rsidR="00CA03E5" w:rsidRPr="00CA03E5">
        <w:rPr>
          <w:rFonts w:ascii="Times New Roman" w:hAnsi="Times New Roman" w:cs="Times New Roman"/>
          <w:sz w:val="24"/>
          <w:szCs w:val="24"/>
        </w:rPr>
        <w:t xml:space="preserve">̆ газ) </w:t>
      </w:r>
      <w:r w:rsidRPr="00CA03E5">
        <w:rPr>
          <w:rFonts w:ascii="Times New Roman" w:hAnsi="Times New Roman" w:cs="Times New Roman"/>
          <w:sz w:val="24"/>
          <w:szCs w:val="24"/>
        </w:rPr>
        <w:t>КЕКВ 2274.</w:t>
      </w:r>
    </w:p>
    <w:p w14:paraId="22E41D71" w14:textId="77777777" w:rsidR="00161FB1" w:rsidRPr="00CA03E5" w:rsidRDefault="00161FB1" w:rsidP="00CA03E5">
      <w:pPr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CA03E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2. </w:t>
      </w:r>
      <w:r w:rsidRPr="00CA03E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Строк </w:t>
      </w:r>
      <w:proofErr w:type="gramStart"/>
      <w:r w:rsidRPr="00CA03E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поставки  товару</w:t>
      </w:r>
      <w:proofErr w:type="gramEnd"/>
      <w:r w:rsidRPr="00CA03E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Pr="00CA03E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 01.01.2023 до</w:t>
      </w:r>
      <w:r w:rsidRPr="00CA03E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31</w:t>
      </w:r>
      <w:r w:rsidRPr="00CA03E5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.03.</w:t>
      </w:r>
      <w:r w:rsidRPr="00CA03E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202</w:t>
      </w:r>
      <w:r w:rsidRPr="00CA03E5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3</w:t>
      </w:r>
      <w:r w:rsidRPr="00CA03E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року</w:t>
      </w:r>
      <w:r w:rsidRPr="00CA03E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включно</w:t>
      </w:r>
      <w:r w:rsidRPr="00CA03E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44A374B" w14:textId="731F6D62" w:rsidR="00161FB1" w:rsidRPr="00CA03E5" w:rsidRDefault="00161FB1" w:rsidP="00CA03E5">
      <w:pPr>
        <w:spacing w:before="20" w:after="2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A03E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3. Кількість товару: </w:t>
      </w:r>
      <w:bookmarkStart w:id="1" w:name="_Hlk119570944"/>
      <w:r w:rsidR="00CA03E5" w:rsidRPr="00CA03E5">
        <w:rPr>
          <w:rFonts w:ascii="Times New Roman" w:hAnsi="Times New Roman" w:cs="Times New Roman"/>
          <w:sz w:val="24"/>
          <w:szCs w:val="24"/>
        </w:rPr>
        <w:t xml:space="preserve">16504 метри кубічні </w:t>
      </w:r>
      <w:bookmarkEnd w:id="1"/>
      <w:r w:rsidR="00CA03E5" w:rsidRPr="00CA03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37F769" w14:textId="77777777" w:rsidR="00161FB1" w:rsidRPr="00CA03E5" w:rsidRDefault="00161FB1" w:rsidP="00CA03E5">
      <w:pPr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Overlap w:val="never"/>
        <w:tblW w:w="96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3"/>
        <w:gridCol w:w="5325"/>
      </w:tblGrid>
      <w:tr w:rsidR="00161FB1" w:rsidRPr="00CA03E5" w14:paraId="05693DD9" w14:textId="77777777" w:rsidTr="00CA03E5">
        <w:trPr>
          <w:trHeight w:hRule="exact" w:val="494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B55B4" w14:textId="77777777" w:rsidR="00161FB1" w:rsidRPr="00CA03E5" w:rsidRDefault="00161FB1" w:rsidP="00CA03E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Розрахунковий</w:t>
            </w:r>
            <w:proofErr w:type="spellEnd"/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період</w:t>
            </w:r>
            <w:proofErr w:type="spellEnd"/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(2023 </w:t>
            </w:r>
            <w:proofErr w:type="spellStart"/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рік</w:t>
            </w:r>
            <w:proofErr w:type="spellEnd"/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3BD12" w14:textId="77777777" w:rsidR="00161FB1" w:rsidRPr="00CA03E5" w:rsidRDefault="00161FB1" w:rsidP="00CA03E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Обсяг</w:t>
            </w:r>
            <w:proofErr w:type="spellEnd"/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природного газу, тис. куб. м</w:t>
            </w:r>
          </w:p>
        </w:tc>
      </w:tr>
      <w:tr w:rsidR="00CA03E5" w:rsidRPr="00CA03E5" w14:paraId="22917569" w14:textId="77777777" w:rsidTr="00CA03E5">
        <w:trPr>
          <w:trHeight w:hRule="exact" w:val="335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66D4C" w14:textId="17F14D3D" w:rsidR="00CA03E5" w:rsidRPr="00CA03E5" w:rsidRDefault="00CA03E5" w:rsidP="00CA03E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Січень</w:t>
            </w:r>
            <w:proofErr w:type="spell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BD0AE" w14:textId="4F5CDD7C" w:rsidR="00CA03E5" w:rsidRPr="00CA03E5" w:rsidRDefault="00CA03E5" w:rsidP="00BB36E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6,908</w:t>
            </w:r>
          </w:p>
        </w:tc>
      </w:tr>
      <w:tr w:rsidR="00CA03E5" w:rsidRPr="00CA03E5" w14:paraId="0A05E02D" w14:textId="77777777" w:rsidTr="00CA03E5">
        <w:trPr>
          <w:trHeight w:hRule="exact" w:val="323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1FA96" w14:textId="1F2CD5CF" w:rsidR="00CA03E5" w:rsidRPr="00CA03E5" w:rsidRDefault="00CA03E5" w:rsidP="00CA03E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Лютий</w:t>
            </w:r>
            <w:proofErr w:type="spell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07243D" w14:textId="629E6A06" w:rsidR="00CA03E5" w:rsidRPr="00CA03E5" w:rsidRDefault="00CA03E5" w:rsidP="00BB36E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7,377</w:t>
            </w:r>
          </w:p>
        </w:tc>
      </w:tr>
      <w:tr w:rsidR="00CA03E5" w:rsidRPr="00CA03E5" w14:paraId="0CD87AEA" w14:textId="77777777" w:rsidTr="00CA03E5">
        <w:trPr>
          <w:trHeight w:hRule="exact" w:val="323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5D1AD" w14:textId="161325F7" w:rsidR="00CA03E5" w:rsidRPr="00CA03E5" w:rsidRDefault="00CA03E5" w:rsidP="00CA03E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Березень</w:t>
            </w:r>
            <w:proofErr w:type="spell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F9A916" w14:textId="72A5662F" w:rsidR="00CA03E5" w:rsidRPr="00CA03E5" w:rsidRDefault="00CA03E5" w:rsidP="00BB36E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2,219</w:t>
            </w:r>
          </w:p>
        </w:tc>
      </w:tr>
      <w:tr w:rsidR="00CA03E5" w:rsidRPr="00CA03E5" w14:paraId="2F94C6B6" w14:textId="77777777" w:rsidTr="00BB36EC">
        <w:trPr>
          <w:trHeight w:hRule="exact" w:val="572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00A88" w14:textId="77777777" w:rsidR="00CA03E5" w:rsidRPr="00CA03E5" w:rsidRDefault="00CA03E5" w:rsidP="00CA03E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ВСЬОГО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0E958" w14:textId="22CB25F5" w:rsidR="00CA03E5" w:rsidRPr="00CA03E5" w:rsidRDefault="00CA03E5" w:rsidP="00BB36E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0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16,504</w:t>
            </w:r>
          </w:p>
        </w:tc>
      </w:tr>
    </w:tbl>
    <w:p w14:paraId="799803C3" w14:textId="77777777" w:rsidR="00161FB1" w:rsidRPr="00CA03E5" w:rsidRDefault="00161FB1" w:rsidP="00CA03E5">
      <w:pPr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7D55343" w14:textId="705FAF60" w:rsidR="00161FB1" w:rsidRPr="00CA03E5" w:rsidRDefault="00161FB1" w:rsidP="00CA03E5">
      <w:pPr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A03E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Місце</w:t>
      </w:r>
      <w:proofErr w:type="spellEnd"/>
      <w:r w:rsidRPr="00CA03E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поставки:</w:t>
      </w:r>
    </w:p>
    <w:p w14:paraId="21D7E2BF" w14:textId="77777777" w:rsidR="00CA03E5" w:rsidRPr="00CA03E5" w:rsidRDefault="00CA03E5" w:rsidP="00CA03E5">
      <w:pPr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TableGrid"/>
        <w:tblW w:w="9016" w:type="dxa"/>
        <w:tblInd w:w="-108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CA03E5" w:rsidRPr="00CA03E5" w14:paraId="44B5DE4B" w14:textId="77777777" w:rsidTr="00CA03E5">
        <w:tc>
          <w:tcPr>
            <w:tcW w:w="4508" w:type="dxa"/>
          </w:tcPr>
          <w:p w14:paraId="0325CB1C" w14:textId="77777777" w:rsidR="00CA03E5" w:rsidRPr="00CA03E5" w:rsidRDefault="00CA03E5" w:rsidP="00CA03E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>Голинськии</w:t>
            </w:r>
            <w:proofErr w:type="spellEnd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spellStart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>ЗДО«Малятко</w:t>
            </w:r>
            <w:proofErr w:type="spellEnd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08" w:type="dxa"/>
          </w:tcPr>
          <w:p w14:paraId="5BED968F" w14:textId="77777777" w:rsidR="00CA03E5" w:rsidRPr="00CA03E5" w:rsidRDefault="00CA03E5" w:rsidP="00CA03E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A03E5">
              <w:rPr>
                <w:rFonts w:ascii="Times New Roman" w:hAnsi="Times New Roman" w:cs="Times New Roman"/>
                <w:sz w:val="24"/>
                <w:szCs w:val="24"/>
              </w:rPr>
              <w:t xml:space="preserve">77343, Івано-Франківська обл., </w:t>
            </w:r>
            <w:proofErr w:type="spellStart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>Калуськии</w:t>
            </w:r>
            <w:proofErr w:type="spellEnd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 xml:space="preserve">̆ р-н, с. </w:t>
            </w:r>
            <w:proofErr w:type="spellStart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>Голинь</w:t>
            </w:r>
            <w:proofErr w:type="spellEnd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>, вул. Шевченка, 17</w:t>
            </w:r>
          </w:p>
        </w:tc>
      </w:tr>
      <w:tr w:rsidR="00CA03E5" w:rsidRPr="00CA03E5" w14:paraId="22A95749" w14:textId="77777777" w:rsidTr="00CA03E5">
        <w:tc>
          <w:tcPr>
            <w:tcW w:w="4508" w:type="dxa"/>
          </w:tcPr>
          <w:p w14:paraId="101DB4C5" w14:textId="77777777" w:rsidR="00CA03E5" w:rsidRPr="00CA03E5" w:rsidRDefault="00CA03E5" w:rsidP="00CA03E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>Копанківськии</w:t>
            </w:r>
            <w:proofErr w:type="spellEnd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spellStart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>ЗДО«Сонечко</w:t>
            </w:r>
            <w:proofErr w:type="spellEnd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08" w:type="dxa"/>
          </w:tcPr>
          <w:p w14:paraId="5EACB505" w14:textId="77777777" w:rsidR="00CA03E5" w:rsidRPr="00CA03E5" w:rsidRDefault="00CA03E5" w:rsidP="00CA03E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A03E5">
              <w:rPr>
                <w:rFonts w:ascii="Times New Roman" w:hAnsi="Times New Roman" w:cs="Times New Roman"/>
                <w:sz w:val="24"/>
                <w:szCs w:val="24"/>
              </w:rPr>
              <w:t xml:space="preserve">77330, Івано-Франківська обл., </w:t>
            </w:r>
            <w:proofErr w:type="spellStart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>Калуськии</w:t>
            </w:r>
            <w:proofErr w:type="spellEnd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 xml:space="preserve">̆ р-н, с. Копанки, вул. </w:t>
            </w:r>
            <w:proofErr w:type="spellStart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>В.Івасюка</w:t>
            </w:r>
            <w:proofErr w:type="spellEnd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 xml:space="preserve">, 13 </w:t>
            </w:r>
          </w:p>
        </w:tc>
      </w:tr>
      <w:tr w:rsidR="00CA03E5" w:rsidRPr="00CA03E5" w14:paraId="565D27C2" w14:textId="77777777" w:rsidTr="00CA03E5">
        <w:tc>
          <w:tcPr>
            <w:tcW w:w="4508" w:type="dxa"/>
          </w:tcPr>
          <w:p w14:paraId="55865686" w14:textId="77777777" w:rsidR="00CA03E5" w:rsidRPr="00CA03E5" w:rsidRDefault="00CA03E5" w:rsidP="00CA03E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>Боднарівськии</w:t>
            </w:r>
            <w:proofErr w:type="spellEnd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spellStart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>ЗДО«Льонок</w:t>
            </w:r>
            <w:proofErr w:type="spellEnd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08" w:type="dxa"/>
          </w:tcPr>
          <w:p w14:paraId="1DB225B4" w14:textId="77777777" w:rsidR="00CA03E5" w:rsidRPr="00CA03E5" w:rsidRDefault="00CA03E5" w:rsidP="00CA03E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A03E5">
              <w:rPr>
                <w:rFonts w:ascii="Times New Roman" w:hAnsi="Times New Roman" w:cs="Times New Roman"/>
                <w:sz w:val="24"/>
                <w:szCs w:val="24"/>
              </w:rPr>
              <w:t xml:space="preserve">77350, Івано-Франківська обл., </w:t>
            </w:r>
            <w:proofErr w:type="spellStart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>Калуськии</w:t>
            </w:r>
            <w:proofErr w:type="spellEnd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 xml:space="preserve">̆ р-н, с. Боднарів, вул. </w:t>
            </w:r>
            <w:proofErr w:type="spellStart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>С.Бандери</w:t>
            </w:r>
            <w:proofErr w:type="spellEnd"/>
            <w:r w:rsidRPr="00CA03E5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</w:tbl>
    <w:p w14:paraId="5AED91A5" w14:textId="77777777" w:rsidR="00CA03E5" w:rsidRPr="00CA03E5" w:rsidRDefault="00CA03E5" w:rsidP="00CA03E5">
      <w:pPr>
        <w:spacing w:before="20" w:after="20" w:line="240" w:lineRule="auto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512ED4A1" w14:textId="77777777" w:rsidR="00161FB1" w:rsidRPr="00CA03E5" w:rsidRDefault="00161FB1" w:rsidP="00CA03E5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F2A239" w14:textId="77777777" w:rsidR="00BB36EC" w:rsidRDefault="00CA03E5" w:rsidP="00CA03E5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формуванні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ціни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врахувати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усі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витрати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постачання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, в тому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числі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і за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транспортування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, з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усіх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платежів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окрім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розподілу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бути ним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понесені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ході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договору про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. За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розрахункову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одиницю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газу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приймається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один метр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кубічний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(м3), приведений до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стандартних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умов: температура (t) 293,18 К (20оС),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тиск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газу (Р) 101,325 кПа (760 мм рт. ст.).</w:t>
      </w:r>
    </w:p>
    <w:p w14:paraId="77F0E60C" w14:textId="534A49AB" w:rsidR="00161FB1" w:rsidRPr="00CA03E5" w:rsidRDefault="00BB36EC" w:rsidP="00CA03E5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Фізико-хімічні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показники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природного газу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повинні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відповідати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вимогам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визначеним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розділом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ІІІ Кодексу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газорозподільних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систем та Кодексу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газотранспортної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6596CF" w14:textId="6A75BC32" w:rsidR="00161FB1" w:rsidRPr="00CA03E5" w:rsidRDefault="00BB36EC" w:rsidP="00CA03E5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Відносини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газопостачальними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газорозподільними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газотранспортними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підприємствами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споживачами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природного газу (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крім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регулюються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>наступними</w:t>
      </w:r>
      <w:proofErr w:type="spellEnd"/>
      <w:r w:rsidR="00161FB1" w:rsidRPr="00CA03E5">
        <w:rPr>
          <w:rFonts w:ascii="Times New Roman" w:eastAsia="Times New Roman" w:hAnsi="Times New Roman" w:cs="Times New Roman"/>
          <w:sz w:val="24"/>
          <w:szCs w:val="24"/>
        </w:rPr>
        <w:t xml:space="preserve"> документами:</w:t>
      </w:r>
    </w:p>
    <w:p w14:paraId="385741FD" w14:textId="77777777" w:rsidR="00161FB1" w:rsidRPr="00CA03E5" w:rsidRDefault="00161FB1" w:rsidP="00CA03E5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3E5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A03E5">
        <w:rPr>
          <w:rFonts w:ascii="Times New Roman" w:eastAsia="Times New Roman" w:hAnsi="Times New Roman" w:cs="Times New Roman"/>
          <w:sz w:val="24"/>
          <w:szCs w:val="24"/>
        </w:rPr>
        <w:tab/>
        <w:t xml:space="preserve">Закон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публічні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proofErr w:type="gramStart"/>
      <w:r w:rsidRPr="00CA03E5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 25.12.2015</w:t>
      </w:r>
      <w:proofErr w:type="gram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№ 922-VIII;</w:t>
      </w:r>
    </w:p>
    <w:p w14:paraId="068B68FF" w14:textId="77777777" w:rsidR="00161FB1" w:rsidRPr="00CA03E5" w:rsidRDefault="00161FB1" w:rsidP="00CA03E5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3E5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A03E5">
        <w:rPr>
          <w:rFonts w:ascii="Times New Roman" w:eastAsia="Times New Roman" w:hAnsi="Times New Roman" w:cs="Times New Roman"/>
          <w:sz w:val="24"/>
          <w:szCs w:val="24"/>
        </w:rPr>
        <w:tab/>
        <w:t xml:space="preserve">Закон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ринок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природного газу»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09.04.2015 № 329 - VIII;</w:t>
      </w:r>
    </w:p>
    <w:p w14:paraId="2D47A933" w14:textId="77777777" w:rsidR="00161FB1" w:rsidRPr="00CA03E5" w:rsidRDefault="00161FB1" w:rsidP="00CA03E5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3E5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A03E5">
        <w:rPr>
          <w:rFonts w:ascii="Times New Roman" w:eastAsia="Times New Roman" w:hAnsi="Times New Roman" w:cs="Times New Roman"/>
          <w:sz w:val="24"/>
          <w:szCs w:val="24"/>
        </w:rPr>
        <w:tab/>
        <w:t xml:space="preserve">Правила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постачання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природного газу,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затвердженими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Постановою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НКРЕКП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30.09.2015 № 2496;</w:t>
      </w:r>
    </w:p>
    <w:p w14:paraId="3132C399" w14:textId="77777777" w:rsidR="00161FB1" w:rsidRPr="00CA03E5" w:rsidRDefault="00161FB1" w:rsidP="00CA03E5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3E5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A03E5">
        <w:rPr>
          <w:rFonts w:ascii="Times New Roman" w:eastAsia="Times New Roman" w:hAnsi="Times New Roman" w:cs="Times New Roman"/>
          <w:sz w:val="24"/>
          <w:szCs w:val="24"/>
        </w:rPr>
        <w:tab/>
        <w:t xml:space="preserve">Кодекс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газорозподільних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систем,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затверджений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Постановою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НКРЕКП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30.09.15 № 2494;</w:t>
      </w:r>
    </w:p>
    <w:p w14:paraId="038695A9" w14:textId="77777777" w:rsidR="00161FB1" w:rsidRPr="00CA03E5" w:rsidRDefault="00161FB1" w:rsidP="00CA03E5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3E5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A03E5">
        <w:rPr>
          <w:rFonts w:ascii="Times New Roman" w:eastAsia="Times New Roman" w:hAnsi="Times New Roman" w:cs="Times New Roman"/>
          <w:sz w:val="24"/>
          <w:szCs w:val="24"/>
        </w:rPr>
        <w:tab/>
        <w:t xml:space="preserve">Кодекс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газотранспортної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затверджений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Постановою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НКРЕКП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30.09.15 № 2493.</w:t>
      </w:r>
    </w:p>
    <w:p w14:paraId="5D281609" w14:textId="77777777" w:rsidR="00161FB1" w:rsidRPr="00CA03E5" w:rsidRDefault="00161FB1" w:rsidP="00CA03E5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3E5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A03E5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Іншим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чинним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правовим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актам,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прийнятим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Закону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CA03E5">
        <w:rPr>
          <w:rFonts w:ascii="Times New Roman" w:eastAsia="Times New Roman" w:hAnsi="Times New Roman" w:cs="Times New Roman"/>
          <w:sz w:val="24"/>
          <w:szCs w:val="24"/>
        </w:rPr>
        <w:t>ринок</w:t>
      </w:r>
      <w:proofErr w:type="spellEnd"/>
      <w:r w:rsidRPr="00CA03E5">
        <w:rPr>
          <w:rFonts w:ascii="Times New Roman" w:eastAsia="Times New Roman" w:hAnsi="Times New Roman" w:cs="Times New Roman"/>
          <w:sz w:val="24"/>
          <w:szCs w:val="24"/>
        </w:rPr>
        <w:t xml:space="preserve"> природного газу».</w:t>
      </w:r>
    </w:p>
    <w:p w14:paraId="65E24676" w14:textId="77777777" w:rsidR="00161FB1" w:rsidRDefault="00161FB1" w:rsidP="00CA03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B60BFD" w14:textId="77777777" w:rsidR="00161FB1" w:rsidRDefault="00161FB1" w:rsidP="00812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F6AAB2" w14:textId="77777777" w:rsidR="00161FB1" w:rsidRDefault="00161FB1" w:rsidP="00161FB1"/>
    <w:p w14:paraId="7E7D6147" w14:textId="77777777" w:rsidR="00A936E9" w:rsidRDefault="00A936E9" w:rsidP="00A936E9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B09D861" w14:textId="77777777" w:rsidR="00A936E9" w:rsidRDefault="00A936E9" w:rsidP="00A936E9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3BED72F" w14:textId="77777777" w:rsidR="00A936E9" w:rsidRDefault="00A936E9" w:rsidP="00A936E9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4253"/>
        <w:gridCol w:w="2696"/>
        <w:gridCol w:w="2895"/>
      </w:tblGrid>
      <w:tr w:rsidR="00A936E9" w:rsidRPr="0040596F" w14:paraId="2953ED98" w14:textId="77777777" w:rsidTr="009825FC">
        <w:trPr>
          <w:trHeight w:val="354"/>
        </w:trPr>
        <w:tc>
          <w:tcPr>
            <w:tcW w:w="4253" w:type="dxa"/>
          </w:tcPr>
          <w:p w14:paraId="3B51E6AA" w14:textId="77777777" w:rsidR="00A936E9" w:rsidRPr="0040596F" w:rsidRDefault="00A936E9" w:rsidP="009825FC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highlight w:val="yellow"/>
              </w:rPr>
            </w:pPr>
          </w:p>
          <w:p w14:paraId="500AD143" w14:textId="12B89746" w:rsidR="00A936E9" w:rsidRPr="00BB36EC" w:rsidRDefault="00BB36EC" w:rsidP="009825FC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val="uk-UA"/>
              </w:rPr>
              <w:t xml:space="preserve">Головний бухгалтер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val="uk-UA"/>
              </w:rPr>
              <w:t>центалізованої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val="uk-UA"/>
              </w:rPr>
              <w:t xml:space="preserve"> бухгалтерії управління освіти Калуської міської ради</w:t>
            </w:r>
          </w:p>
        </w:tc>
        <w:tc>
          <w:tcPr>
            <w:tcW w:w="2696" w:type="dxa"/>
            <w:vAlign w:val="center"/>
          </w:tcPr>
          <w:p w14:paraId="4A0AD872" w14:textId="77777777" w:rsidR="00A936E9" w:rsidRPr="0040596F" w:rsidRDefault="00A936E9" w:rsidP="009825FC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14:paraId="1D1E76D7" w14:textId="77777777" w:rsidR="00A936E9" w:rsidRPr="0040596F" w:rsidRDefault="00A936E9" w:rsidP="009825FC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14:paraId="34C1DF63" w14:textId="77777777" w:rsidR="00A936E9" w:rsidRPr="0040596F" w:rsidRDefault="00A936E9" w:rsidP="009825FC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14:paraId="0CA3A52C" w14:textId="77777777" w:rsidR="00A936E9" w:rsidRPr="0040596F" w:rsidRDefault="00A936E9" w:rsidP="009825FC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0596F">
              <w:rPr>
                <w:rFonts w:ascii="Times New Roman" w:eastAsia="Calibri" w:hAnsi="Times New Roman" w:cs="Times New Roman"/>
                <w:sz w:val="16"/>
                <w:szCs w:val="16"/>
              </w:rPr>
              <w:t>________________</w:t>
            </w:r>
          </w:p>
          <w:p w14:paraId="7D04320B" w14:textId="77777777" w:rsidR="00A936E9" w:rsidRPr="0040596F" w:rsidRDefault="00A936E9" w:rsidP="009825FC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5" w:type="dxa"/>
            <w:vAlign w:val="center"/>
          </w:tcPr>
          <w:p w14:paraId="2500BE84" w14:textId="77777777" w:rsidR="00A936E9" w:rsidRPr="0040596F" w:rsidRDefault="00A936E9" w:rsidP="009825FC">
            <w:pPr>
              <w:tabs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596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2899A4CC" w14:textId="2065F55D" w:rsidR="00A936E9" w:rsidRPr="00BB36EC" w:rsidRDefault="00BB36EC" w:rsidP="009825FC">
            <w:pPr>
              <w:tabs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Магдалина Федорів</w:t>
            </w:r>
          </w:p>
        </w:tc>
      </w:tr>
    </w:tbl>
    <w:p w14:paraId="13CE9EA3" w14:textId="587C1DBC" w:rsidR="00A936E9" w:rsidRPr="00BB36EC" w:rsidRDefault="00A936E9" w:rsidP="00A936E9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6EA1">
        <w:rPr>
          <w:rFonts w:ascii="Times New Roman" w:hAnsi="Times New Roman" w:cs="Times New Roman"/>
          <w:sz w:val="24"/>
          <w:szCs w:val="24"/>
        </w:rPr>
        <w:t>(03472)</w:t>
      </w:r>
      <w:r w:rsidR="00BB36EC">
        <w:rPr>
          <w:rFonts w:ascii="Times New Roman" w:hAnsi="Times New Roman" w:cs="Times New Roman"/>
          <w:sz w:val="24"/>
          <w:szCs w:val="24"/>
          <w:lang w:val="uk-UA"/>
        </w:rPr>
        <w:t>6-64-40</w:t>
      </w:r>
    </w:p>
    <w:p w14:paraId="78A89274" w14:textId="77777777" w:rsidR="00A936E9" w:rsidRDefault="00A936E9" w:rsidP="00A936E9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60751AA" w14:textId="77777777" w:rsidR="00A936E9" w:rsidRPr="00406944" w:rsidRDefault="00A936E9" w:rsidP="00A936E9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1D4EBC2" w14:textId="77777777" w:rsidR="00A936E9" w:rsidRPr="00406944" w:rsidRDefault="00A936E9" w:rsidP="00A9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36E9" w:rsidRPr="004069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7091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BD"/>
    <w:rsid w:val="00161FB1"/>
    <w:rsid w:val="003D72AE"/>
    <w:rsid w:val="006226EB"/>
    <w:rsid w:val="0081259F"/>
    <w:rsid w:val="008F21DB"/>
    <w:rsid w:val="00A936E9"/>
    <w:rsid w:val="00AC18BD"/>
    <w:rsid w:val="00B84103"/>
    <w:rsid w:val="00BB36EC"/>
    <w:rsid w:val="00C81A3B"/>
    <w:rsid w:val="00CA03E5"/>
    <w:rsid w:val="00E6464C"/>
    <w:rsid w:val="00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F1A84"/>
  <w15:chartTrackingRefBased/>
  <w15:docId w15:val="{60F50DFE-078B-4650-AC8B-6EAE0E4A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03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03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6E9"/>
    <w:rPr>
      <w:color w:val="0000FF"/>
      <w:u w:val="single"/>
    </w:rPr>
  </w:style>
  <w:style w:type="paragraph" w:styleId="NormalWeb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Normal"/>
    <w:link w:val="NormalWebChar"/>
    <w:uiPriority w:val="99"/>
    <w:unhideWhenUsed/>
    <w:qFormat/>
    <w:rsid w:val="00A9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WebChar">
    <w:name w:val="Normal (Web) Char"/>
    <w:aliases w:val="Обычный (Web) Char,Знак18 Знак Char,Знак17 Знак1 Char,Обычный (веб) Знак1 Char,Обычный (веб) Знак Знак1 Char,Обычный (Web) Знак Знак Знак Знак Char,Обычный (веб) Знак Знак Знак Char,Обычный (веб) Знак Знак Char"/>
    <w:link w:val="NormalWeb"/>
    <w:uiPriority w:val="99"/>
    <w:locked/>
    <w:rsid w:val="00A936E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TableGrid">
    <w:name w:val="Table Grid"/>
    <w:basedOn w:val="TableNormal"/>
    <w:uiPriority w:val="39"/>
    <w:unhideWhenUsed/>
    <w:rsid w:val="00A936E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"/>
    <w:basedOn w:val="Normal"/>
    <w:link w:val="ListParagraphChar"/>
    <w:uiPriority w:val="34"/>
    <w:qFormat/>
    <w:rsid w:val="00161FB1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istParagraphChar">
    <w:name w:val="List Paragraph Char"/>
    <w:aliases w:val="Абзац списку 1 Char,тв-Абзац списка Char,название табл/рис Char,заголовок 1.1 Char,List Paragraph (numbered (a)) Char,List_Paragraph Char,Multilevel para_II Char,List Paragraph1 Char,List Paragraph-ExecSummary Char,Bullets Char"/>
    <w:link w:val="ListParagraph"/>
    <w:uiPriority w:val="34"/>
    <w:locked/>
    <w:rsid w:val="00161FB1"/>
    <w:rPr>
      <w:rFonts w:ascii="Times New Roman" w:eastAsia="SimSu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A03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0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03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03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A03E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D35CB2-269E-CF4B-940F-2C6A6E05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2022-11-17T12:59:00Z</cp:lastPrinted>
  <dcterms:created xsi:type="dcterms:W3CDTF">2022-11-18T11:53:00Z</dcterms:created>
  <dcterms:modified xsi:type="dcterms:W3CDTF">2022-11-18T11:53:00Z</dcterms:modified>
</cp:coreProperties>
</file>