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C050D4" w:rsidRPr="005C6163" w:rsidRDefault="00AA3318" w:rsidP="00063033">
      <w:pPr>
        <w:spacing w:after="0" w:line="240" w:lineRule="auto"/>
        <w:jc w:val="center"/>
        <w:rPr>
          <w:rFonts w:ascii="Times New Roman" w:eastAsia="Times New Roman" w:hAnsi="Times New Roman"/>
          <w:b/>
          <w:color w:val="0F243E" w:themeColor="text2" w:themeShade="80"/>
          <w:sz w:val="40"/>
          <w:szCs w:val="40"/>
        </w:rPr>
      </w:pPr>
      <w:r w:rsidRPr="005C6163">
        <w:rPr>
          <w:rFonts w:ascii="Times New Roman" w:eastAsia="Times New Roman" w:hAnsi="Times New Roman"/>
          <w:b/>
          <w:noProof/>
          <w:color w:val="0F243E" w:themeColor="text2" w:themeShade="80"/>
          <w:sz w:val="40"/>
          <w:szCs w:val="4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-133350</wp:posOffset>
            </wp:positionV>
            <wp:extent cx="3057525" cy="3057525"/>
            <wp:effectExtent l="19050" t="0" r="9525" b="0"/>
            <wp:wrapTight wrapText="bothSides">
              <wp:wrapPolygon edited="0">
                <wp:start x="-135" y="0"/>
                <wp:lineTo x="-135" y="21533"/>
                <wp:lineTo x="21667" y="21533"/>
                <wp:lineTo x="21667" y="0"/>
                <wp:lineTo x="-135" y="0"/>
              </wp:wrapPolygon>
            </wp:wrapTight>
            <wp:docPr id="10" name="Рисунок 3" descr="C:\Users\User\Desktop\274521987_438295101424157_14002919265843954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74521987_438295101424157_140029192658439549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BEC" w:rsidRPr="005C6163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  <w:t>П</w:t>
      </w:r>
      <w:r w:rsidR="00437BEC" w:rsidRPr="005C6163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  <w:lang w:val="en-US"/>
        </w:rPr>
        <w:t>АМ</w:t>
      </w:r>
      <w:r w:rsidR="008A3B40" w:rsidRPr="005C6163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  <w:lang w:val="en-US"/>
        </w:rPr>
        <w:t>’</w:t>
      </w:r>
      <w:r w:rsidR="00437BEC" w:rsidRPr="005C6163">
        <w:rPr>
          <w:rFonts w:ascii="Times New Roman" w:eastAsia="Times New Roman" w:hAnsi="Times New Roman" w:cs="Times New Roman"/>
          <w:b/>
          <w:color w:val="0F243E" w:themeColor="text2" w:themeShade="80"/>
          <w:sz w:val="40"/>
          <w:szCs w:val="40"/>
        </w:rPr>
        <w:t>ЯТКА</w:t>
      </w:r>
    </w:p>
    <w:p w:rsidR="00803818" w:rsidRPr="005C6163" w:rsidRDefault="008A3B40" w:rsidP="00063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5C6163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учасникам освітнього процесу</w:t>
      </w:r>
    </w:p>
    <w:p w:rsidR="00803818" w:rsidRPr="005C6163" w:rsidRDefault="00803818" w:rsidP="00361C4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03818" w:rsidRPr="004A2A5A" w:rsidRDefault="008A3B40" w:rsidP="00803818">
      <w:pPr>
        <w:spacing w:after="0" w:line="240" w:lineRule="auto"/>
        <w:ind w:firstLine="660"/>
        <w:jc w:val="both"/>
        <w:rPr>
          <w:rFonts w:ascii="Times New Roman" w:eastAsia="Times New Roman" w:hAnsi="Times New Roman"/>
          <w:color w:val="244061" w:themeColor="accent1" w:themeShade="80"/>
          <w:sz w:val="26"/>
          <w:szCs w:val="26"/>
        </w:rPr>
      </w:pPr>
      <w:r w:rsidRPr="004A2A5A">
        <w:rPr>
          <w:rFonts w:ascii="Times New Roman" w:eastAsia="Times New Roman" w:hAnsi="Times New Roman"/>
          <w:color w:val="244061" w:themeColor="accent1" w:themeShade="80"/>
          <w:sz w:val="26"/>
          <w:szCs w:val="26"/>
        </w:rPr>
        <w:t xml:space="preserve">Захисні споруди заповнюються організовано і без паніки за сигналом </w:t>
      </w:r>
      <w:r w:rsidRPr="00063033">
        <w:rPr>
          <w:rFonts w:ascii="Times New Roman" w:eastAsia="Times New Roman" w:hAnsi="Times New Roman"/>
          <w:color w:val="FF0000"/>
          <w:sz w:val="26"/>
          <w:szCs w:val="26"/>
        </w:rPr>
        <w:t>«УВАГА ВСІМ»</w:t>
      </w:r>
      <w:r w:rsidRPr="004A2A5A">
        <w:rPr>
          <w:rFonts w:ascii="Times New Roman" w:eastAsia="Times New Roman" w:hAnsi="Times New Roman"/>
          <w:color w:val="244061" w:themeColor="accent1" w:themeShade="80"/>
          <w:sz w:val="26"/>
          <w:szCs w:val="26"/>
        </w:rPr>
        <w:t>!</w:t>
      </w:r>
    </w:p>
    <w:p w:rsidR="00803818" w:rsidRPr="004A2A5A" w:rsidRDefault="00803818" w:rsidP="00803818">
      <w:pPr>
        <w:spacing w:after="0" w:line="240" w:lineRule="auto"/>
        <w:ind w:firstLine="660"/>
        <w:jc w:val="both"/>
        <w:rPr>
          <w:color w:val="215868" w:themeColor="accent5" w:themeShade="80"/>
          <w:sz w:val="24"/>
          <w:szCs w:val="24"/>
        </w:rPr>
      </w:pP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Біля вхідних дверей до споруди подвійного призначення (найпростішого укриття) має вивішуватися табличка розміром 50 х 60 см з написом </w:t>
      </w:r>
      <w:r w:rsidRPr="00063033">
        <w:rPr>
          <w:rFonts w:ascii="Times New Roman" w:eastAsia="Times New Roman" w:hAnsi="Times New Roman"/>
          <w:b/>
          <w:color w:val="FF0000"/>
          <w:sz w:val="26"/>
          <w:szCs w:val="26"/>
        </w:rPr>
        <w:t>«Місце для УКРИТТЯ»</w:t>
      </w:r>
      <w:r w:rsidRPr="00063033">
        <w:rPr>
          <w:rFonts w:ascii="Times New Roman" w:eastAsia="Times New Roman" w:hAnsi="Times New Roman"/>
          <w:color w:val="FF0000"/>
          <w:sz w:val="26"/>
          <w:szCs w:val="26"/>
        </w:rPr>
        <w:t>.</w:t>
      </w: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На ній необхідно зазначати адресу місця розташування споруди, її </w:t>
      </w:r>
      <w:proofErr w:type="spellStart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балансоутримувача</w:t>
      </w:r>
      <w:proofErr w:type="spellEnd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, адресу і місце зберігання ключів. </w:t>
      </w:r>
    </w:p>
    <w:p w:rsidR="00803818" w:rsidRPr="00AA3318" w:rsidRDefault="00803818" w:rsidP="00803818">
      <w:pPr>
        <w:pStyle w:val="1"/>
        <w:spacing w:after="0" w:line="240" w:lineRule="auto"/>
        <w:ind w:firstLine="567"/>
        <w:rPr>
          <w:color w:val="0F243E" w:themeColor="text2" w:themeShade="80"/>
          <w:sz w:val="26"/>
          <w:szCs w:val="26"/>
        </w:rPr>
      </w:pPr>
      <w:bookmarkStart w:id="0" w:name="n281"/>
      <w:bookmarkEnd w:id="0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Найпростіші укриття забезпечуються: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1" w:name="n282"/>
      <w:bookmarkEnd w:id="1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місцями для сидіння (лежання) — лавками, нарами, сті</w:t>
      </w:r>
      <w:r w:rsidR="00732090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льцями, ліжками</w:t>
      </w:r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r w:rsidRPr="004A2A5A">
        <w:rPr>
          <w:rFonts w:ascii="Times New Roman" w:eastAsia="Times New Roman" w:hAnsi="Times New Roman"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42545</wp:posOffset>
            </wp:positionV>
            <wp:extent cx="3514725" cy="2886075"/>
            <wp:effectExtent l="19050" t="0" r="9525" b="0"/>
            <wp:wrapSquare wrapText="bothSides"/>
            <wp:docPr id="1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n283"/>
      <w:bookmarkEnd w:id="2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ємностями з питною (з розрахунку 2 л на добу на одну особу, яка підлягає укриттю) та технічною водою (за відсутності централізованого водопостачання);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3" w:name="n284"/>
      <w:bookmarkEnd w:id="3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контейнерами для зберігання продуктів харчування;</w:t>
      </w:r>
    </w:p>
    <w:p w:rsidR="00803818" w:rsidRPr="004A2A5A" w:rsidRDefault="000C6D0D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4" w:name="n285"/>
      <w:bookmarkEnd w:id="4"/>
      <w:r>
        <w:rPr>
          <w:rFonts w:ascii="Times New Roman" w:eastAsia="Times New Roman" w:hAnsi="Times New Roman"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1009650</wp:posOffset>
            </wp:positionV>
            <wp:extent cx="3409950" cy="2933700"/>
            <wp:effectExtent l="19050" t="0" r="0" b="0"/>
            <wp:wrapTight wrapText="bothSides">
              <wp:wrapPolygon edited="0">
                <wp:start x="-121" y="0"/>
                <wp:lineTo x="-121" y="21460"/>
                <wp:lineTo x="21600" y="21460"/>
                <wp:lineTo x="21600" y="0"/>
                <wp:lineTo x="-121" y="0"/>
              </wp:wrapPolygon>
            </wp:wrapTight>
            <wp:docPr id="12" name="Рисунок 2" descr="C:\Users\User\Desktop\274463791_438295104757490_87465379368936397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4463791_438295104757490_87465379368936397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виносними баками, що щільно закриваються, для нечистот (для </w:t>
      </w:r>
      <w:proofErr w:type="spellStart"/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неканалізованих</w:t>
      </w:r>
      <w:proofErr w:type="spellEnd"/>
      <w:r w:rsidR="00803818"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будівель і споруд), розміщених у спеціально призначених для цього приміщеннях; </w:t>
      </w:r>
    </w:p>
    <w:p w:rsidR="00803818" w:rsidRPr="004A2A5A" w:rsidRDefault="00803818" w:rsidP="00803818">
      <w:pPr>
        <w:pStyle w:val="1"/>
        <w:spacing w:after="0" w:line="240" w:lineRule="auto"/>
        <w:ind w:firstLine="567"/>
        <w:jc w:val="both"/>
        <w:rPr>
          <w:color w:val="215868" w:themeColor="accent5" w:themeShade="80"/>
          <w:sz w:val="26"/>
          <w:szCs w:val="26"/>
        </w:rPr>
      </w:pPr>
      <w:bookmarkStart w:id="5" w:name="n286"/>
      <w:bookmarkEnd w:id="5"/>
      <w:r w:rsidRPr="004A2A5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резервним штучним освітленням (електричними ліхтарями, свічками, гасовими лампами тощо) та електроживленням; </w:t>
      </w:r>
    </w:p>
    <w:p w:rsidR="00803818" w:rsidRPr="00BE5B98" w:rsidRDefault="00803818" w:rsidP="004F13FC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215868" w:themeColor="accent5" w:themeShade="80"/>
          <w:sz w:val="26"/>
          <w:szCs w:val="26"/>
        </w:rPr>
      </w:pPr>
      <w:bookmarkStart w:id="6" w:name="n287"/>
      <w:bookmarkEnd w:id="6"/>
      <w:r w:rsidRPr="00BE5B98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первинними засобами пожежогасіння;</w:t>
      </w:r>
    </w:p>
    <w:p w:rsidR="006459FA" w:rsidRDefault="00803818" w:rsidP="004F13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bookmarkStart w:id="7" w:name="n288"/>
      <w:bookmarkEnd w:id="7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засобами надання медичної допомоги; </w:t>
      </w:r>
      <w:bookmarkStart w:id="8" w:name="n289"/>
      <w:bookmarkEnd w:id="8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засобами зв’язку і оповіщення (телефоном, радіоприймачем, мережею </w:t>
      </w:r>
      <w:proofErr w:type="spellStart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інтернет</w:t>
      </w:r>
      <w:proofErr w:type="spellEnd"/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 рекомендовано встановлення Wi-Fi — пристроїв</w:t>
      </w:r>
      <w:r w:rsidR="00361C46"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та шанцевим інструментом</w:t>
      </w:r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)</w:t>
      </w:r>
      <w:bookmarkStart w:id="9" w:name="n290"/>
      <w:bookmarkEnd w:id="9"/>
      <w:r w:rsidR="00361C46"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  <w:r w:rsidRPr="00BE5B9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</w:p>
    <w:p w:rsidR="004A2A5A" w:rsidRPr="006459FA" w:rsidRDefault="006459FA" w:rsidP="004F13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>Місткість споруд подвійного призначення та найпростіших укриттів вираховується з розрахунку: 0,6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>2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</w:t>
      </w:r>
      <w:r w:rsidRPr="006459FA">
        <w:rPr>
          <w:rStyle w:val="apple-converted-space"/>
          <w:rFonts w:ascii="Times New Roman" w:eastAsia="Times New Roman" w:hAnsi="Times New Roman"/>
          <w:color w:val="215868" w:themeColor="accent5" w:themeShade="80"/>
          <w:sz w:val="26"/>
          <w:szCs w:val="26"/>
        </w:rPr>
        <w:t>площі основних приміщень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(для розміщення населення, що підлягає укриттю) на одну особу. За можливості розміщення двоярусних нар площу може бути зменшено до 0,5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 xml:space="preserve">2 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на одну особу, при триярусному – до 0,4 м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  <w:vertAlign w:val="superscript"/>
        </w:rPr>
        <w:t>2</w:t>
      </w:r>
      <w:r w:rsidRPr="006459FA">
        <w:rPr>
          <w:rStyle w:val="apple-converted-space"/>
          <w:rFonts w:ascii="Times New Roman" w:eastAsia="Times New Roman" w:hAnsi="Times New Roman"/>
          <w:color w:val="215868" w:themeColor="accent5" w:themeShade="80"/>
          <w:sz w:val="26"/>
          <w:szCs w:val="26"/>
        </w:rPr>
        <w:t> </w:t>
      </w:r>
      <w:r w:rsidRPr="006459FA">
        <w:rPr>
          <w:rFonts w:ascii="Times New Roman" w:eastAsia="Times New Roman" w:hAnsi="Times New Roman"/>
          <w:color w:val="215868" w:themeColor="accent5" w:themeShade="80"/>
          <w:sz w:val="26"/>
          <w:szCs w:val="26"/>
        </w:rPr>
        <w:t xml:space="preserve"> на одну особу.</w:t>
      </w:r>
    </w:p>
    <w:p w:rsidR="00063033" w:rsidRDefault="00063033" w:rsidP="00274589">
      <w:pPr>
        <w:pStyle w:val="1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0F243E" w:themeColor="text2" w:themeShade="80"/>
          <w:sz w:val="24"/>
          <w:szCs w:val="24"/>
          <w:lang w:eastAsia="uk-U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40640</wp:posOffset>
            </wp:positionV>
            <wp:extent cx="838200" cy="876300"/>
            <wp:effectExtent l="0" t="0" r="0" b="0"/>
            <wp:wrapNone/>
            <wp:docPr id="13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033" w:rsidRDefault="00BA79EB" w:rsidP="00063033">
      <w:pPr>
        <w:pStyle w:val="1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</w:pPr>
      <w:r w:rsidRPr="00063033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>Навчально-методичний центр цивільного захисту</w:t>
      </w:r>
      <w:r w:rsidR="00063033" w:rsidRPr="00063033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 xml:space="preserve"> </w:t>
      </w:r>
      <w:r w:rsidRPr="00063033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 xml:space="preserve">та безпеки життєдіяльності </w:t>
      </w:r>
    </w:p>
    <w:p w:rsidR="004A2A5A" w:rsidRPr="00063033" w:rsidRDefault="00BA79EB" w:rsidP="00063033">
      <w:pPr>
        <w:pStyle w:val="1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</w:pPr>
      <w:r w:rsidRPr="00063033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>Івано-Франківської області</w:t>
      </w:r>
    </w:p>
    <w:p w:rsidR="00063033" w:rsidRPr="005606FB" w:rsidRDefault="00063033" w:rsidP="005606FB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18"/>
          <w:szCs w:val="18"/>
        </w:rPr>
      </w:pPr>
      <w:r w:rsidRPr="005C6163">
        <w:rPr>
          <w:rFonts w:ascii="Times New Roman" w:hAnsi="Times New Roman"/>
          <w:color w:val="0F243E" w:themeColor="text2" w:themeShade="80"/>
          <w:sz w:val="18"/>
          <w:szCs w:val="18"/>
        </w:rPr>
        <w:t xml:space="preserve">вул. </w:t>
      </w:r>
      <w:proofErr w:type="spellStart"/>
      <w:r w:rsidRPr="005C6163">
        <w:rPr>
          <w:rFonts w:ascii="Times New Roman" w:hAnsi="Times New Roman"/>
          <w:color w:val="0F243E" w:themeColor="text2" w:themeShade="80"/>
          <w:sz w:val="18"/>
          <w:szCs w:val="18"/>
        </w:rPr>
        <w:t>Василіянок</w:t>
      </w:r>
      <w:proofErr w:type="spellEnd"/>
      <w:r w:rsidRPr="005C6163">
        <w:rPr>
          <w:rFonts w:ascii="Times New Roman" w:hAnsi="Times New Roman"/>
          <w:color w:val="0F243E" w:themeColor="text2" w:themeShade="80"/>
          <w:sz w:val="18"/>
          <w:szCs w:val="18"/>
        </w:rPr>
        <w:t>, буд. 62-А, м. Івано-Франківськ, 76019,  тел. (0342)78-54-67,</w:t>
      </w:r>
      <w:r w:rsidRPr="005C6163">
        <w:rPr>
          <w:b/>
          <w:color w:val="0F243E" w:themeColor="text2" w:themeShade="80"/>
        </w:rPr>
        <w:t xml:space="preserve"> </w:t>
      </w:r>
      <w:r w:rsidRPr="005C6163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E</w:t>
      </w:r>
      <w:r w:rsidRPr="005C6163">
        <w:rPr>
          <w:rFonts w:ascii="Times New Roman" w:hAnsi="Times New Roman"/>
          <w:b/>
          <w:color w:val="0F243E" w:themeColor="text2" w:themeShade="80"/>
          <w:sz w:val="18"/>
          <w:szCs w:val="18"/>
        </w:rPr>
        <w:t>-</w:t>
      </w:r>
      <w:r w:rsidRPr="005C6163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: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nmc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ivanofrankivsk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@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dsns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gov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ua</w:t>
      </w:r>
      <w:proofErr w:type="spellEnd"/>
    </w:p>
    <w:sectPr w:rsidR="00063033" w:rsidRPr="005606FB" w:rsidSect="00AA3318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2417E"/>
    <w:rsid w:val="00030201"/>
    <w:rsid w:val="00063033"/>
    <w:rsid w:val="000A6571"/>
    <w:rsid w:val="000C6D0D"/>
    <w:rsid w:val="00101F50"/>
    <w:rsid w:val="00160012"/>
    <w:rsid w:val="00177FDE"/>
    <w:rsid w:val="00274589"/>
    <w:rsid w:val="002D5263"/>
    <w:rsid w:val="00361C46"/>
    <w:rsid w:val="00384DF5"/>
    <w:rsid w:val="00437BEC"/>
    <w:rsid w:val="00473975"/>
    <w:rsid w:val="004A2A5A"/>
    <w:rsid w:val="004C68DB"/>
    <w:rsid w:val="004F13FC"/>
    <w:rsid w:val="005352CF"/>
    <w:rsid w:val="00540F9D"/>
    <w:rsid w:val="005606FB"/>
    <w:rsid w:val="005C6163"/>
    <w:rsid w:val="005E1951"/>
    <w:rsid w:val="005F13EC"/>
    <w:rsid w:val="006459FA"/>
    <w:rsid w:val="00685092"/>
    <w:rsid w:val="00732090"/>
    <w:rsid w:val="0075179D"/>
    <w:rsid w:val="007B67F1"/>
    <w:rsid w:val="00803818"/>
    <w:rsid w:val="008A3B40"/>
    <w:rsid w:val="008A7829"/>
    <w:rsid w:val="008B5743"/>
    <w:rsid w:val="008C31BA"/>
    <w:rsid w:val="008D6863"/>
    <w:rsid w:val="008E1F5C"/>
    <w:rsid w:val="008E55C7"/>
    <w:rsid w:val="0092167C"/>
    <w:rsid w:val="00951016"/>
    <w:rsid w:val="00AA3318"/>
    <w:rsid w:val="00AE1E5E"/>
    <w:rsid w:val="00B11EF4"/>
    <w:rsid w:val="00B12455"/>
    <w:rsid w:val="00B5217A"/>
    <w:rsid w:val="00B53224"/>
    <w:rsid w:val="00BA79EB"/>
    <w:rsid w:val="00BC04CE"/>
    <w:rsid w:val="00BE5B98"/>
    <w:rsid w:val="00C050D4"/>
    <w:rsid w:val="00C1508C"/>
    <w:rsid w:val="00C15DE9"/>
    <w:rsid w:val="00CE060C"/>
    <w:rsid w:val="00D12FB5"/>
    <w:rsid w:val="00D622CB"/>
    <w:rsid w:val="00DA493B"/>
    <w:rsid w:val="00DB7528"/>
    <w:rsid w:val="00DC046E"/>
    <w:rsid w:val="00EF6947"/>
    <w:rsid w:val="00F107E2"/>
    <w:rsid w:val="00F5328E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character" w:customStyle="1" w:styleId="apple-converted-space">
    <w:name w:val="apple-converted-space"/>
    <w:rsid w:val="00732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7A4FF-5921-4F87-8EC3-D86D96B6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2022-07-14T10:37:00Z</cp:lastPrinted>
  <dcterms:created xsi:type="dcterms:W3CDTF">2022-07-14T10:02:00Z</dcterms:created>
  <dcterms:modified xsi:type="dcterms:W3CDTF">2022-08-11T05:33:00Z</dcterms:modified>
</cp:coreProperties>
</file>