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DB" w:rsidRDefault="002F76DB" w:rsidP="002F76DB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F76DB" w:rsidRDefault="002F76DB" w:rsidP="002F76DB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76DB" w:rsidRDefault="002F76DB" w:rsidP="002F76DB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76DB" w:rsidRDefault="002F76DB" w:rsidP="002F76DB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76DB" w:rsidRDefault="002F76DB" w:rsidP="002F76DB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76DB" w:rsidRDefault="002F76DB" w:rsidP="002F76DB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76DB" w:rsidRDefault="002F76DB" w:rsidP="002F76DB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76DB" w:rsidRDefault="002F76DB" w:rsidP="002F76DB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76DB" w:rsidRDefault="002F76DB" w:rsidP="002F76DB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76DB" w:rsidRDefault="002F76DB" w:rsidP="002F76DB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76DB" w:rsidRDefault="002F76DB" w:rsidP="002F76DB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76DB" w:rsidRDefault="002F76DB" w:rsidP="002F76DB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Керуючому справами виконкому,</w:t>
      </w:r>
    </w:p>
    <w:p w:rsidR="002F76DB" w:rsidRDefault="002F76DB" w:rsidP="002F76DB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голові редакційної колегії</w:t>
      </w:r>
    </w:p>
    <w:p w:rsidR="002F76DB" w:rsidRDefault="002F76DB" w:rsidP="002F76DB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п. Олегу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Савці</w:t>
      </w:r>
      <w:proofErr w:type="spellEnd"/>
    </w:p>
    <w:p w:rsidR="002F76DB" w:rsidRDefault="002F76DB" w:rsidP="00DC46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76DB" w:rsidRPr="00172CE5" w:rsidRDefault="002F76DB" w:rsidP="00DC46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F47327" w:rsidRPr="00172CE5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172CE5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F47327" w:rsidRPr="00172CE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172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.2021р. УЖКГ Калуської міської ради в електронній системі публічних </w:t>
      </w:r>
      <w:proofErr w:type="spellStart"/>
      <w:r w:rsidRPr="00172CE5">
        <w:rPr>
          <w:rFonts w:ascii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172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172CE5">
        <w:rPr>
          <w:rFonts w:ascii="Times New Roman" w:hAnsi="Times New Roman" w:cs="Times New Roman"/>
          <w:color w:val="000000" w:themeColor="text1"/>
          <w:sz w:val="28"/>
          <w:szCs w:val="28"/>
        </w:rPr>
        <w:t>Prozorro</w:t>
      </w:r>
      <w:proofErr w:type="spellEnd"/>
      <w:r w:rsidRPr="00172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веб-порталі Уповноваженого органу </w:t>
      </w:r>
      <w:hyperlink r:id="rId6" w:history="1">
        <w:r w:rsidRPr="00172CE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prozorro.gov.</w:t>
        </w:r>
      </w:hyperlink>
      <w:proofErr w:type="spellStart"/>
      <w:r w:rsidRPr="00172CE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ua</w:t>
      </w:r>
      <w:proofErr w:type="spellEnd"/>
      <w:r w:rsidRPr="00172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 розміщено оголошення щодо закупівлі </w:t>
      </w:r>
      <w:r w:rsidR="00A35D52" w:rsidRPr="00172CE5">
        <w:rPr>
          <w:rFonts w:ascii="Times New Roman" w:hAnsi="Times New Roman" w:cs="Times New Roman"/>
          <w:color w:val="000000" w:themeColor="text1"/>
          <w:sz w:val="28"/>
          <w:szCs w:val="28"/>
        </w:rPr>
        <w:t>робіт з</w:t>
      </w:r>
      <w:r w:rsidRPr="00172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47327" w:rsidRPr="00172CE5">
        <w:rPr>
          <w:rFonts w:ascii="Times New Roman" w:hAnsi="Times New Roman" w:cs="Times New Roman"/>
          <w:color w:val="000000" w:themeColor="text1"/>
          <w:sz w:val="28"/>
          <w:szCs w:val="28"/>
        </w:rPr>
        <w:t>Капітальний ремонт каналізаційних мереж житлового будинку по вул. Підвальна,10 в м. Калуш Івано-Франківської області»</w:t>
      </w:r>
      <w:r w:rsidR="00693467" w:rsidRPr="00172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2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ID:  </w:t>
      </w:r>
      <w:r w:rsidR="00F47327" w:rsidRPr="00172CE5">
        <w:rPr>
          <w:rStyle w:val="h-select-all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UA-2021-09-09-010210-c</w:t>
      </w:r>
      <w:r w:rsidR="00F47327" w:rsidRPr="00172C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72CE5">
        <w:rPr>
          <w:rFonts w:ascii="Times New Roman" w:hAnsi="Times New Roman" w:cs="Times New Roman"/>
          <w:color w:val="000000" w:themeColor="text1"/>
          <w:sz w:val="28"/>
          <w:szCs w:val="28"/>
        </w:rPr>
        <w:t>за процедурою спрощеної закупівлі.</w:t>
      </w:r>
    </w:p>
    <w:p w:rsidR="002F76DB" w:rsidRPr="00172CE5" w:rsidRDefault="002F76DB" w:rsidP="00DC467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172CE5">
        <w:rPr>
          <w:color w:val="000000" w:themeColor="text1"/>
          <w:sz w:val="28"/>
          <w:szCs w:val="28"/>
        </w:rPr>
        <w:t xml:space="preserve">З метою забезпечення виконання Постанови Кабінету Міністрів України від 16 грудня 2020р. N1266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3705F4" w:rsidRPr="00172CE5">
        <w:rPr>
          <w:color w:val="000000" w:themeColor="text1"/>
          <w:sz w:val="28"/>
          <w:szCs w:val="28"/>
        </w:rPr>
        <w:t>робіт</w:t>
      </w:r>
      <w:r w:rsidRPr="00172CE5">
        <w:rPr>
          <w:color w:val="000000" w:themeColor="text1"/>
          <w:sz w:val="28"/>
          <w:szCs w:val="28"/>
        </w:rPr>
        <w:t xml:space="preserve"> «</w:t>
      </w:r>
      <w:r w:rsidR="003705F4" w:rsidRPr="00172CE5">
        <w:rPr>
          <w:color w:val="000000" w:themeColor="text1"/>
          <w:sz w:val="28"/>
          <w:szCs w:val="28"/>
        </w:rPr>
        <w:t>Капітальний ремонт каналізаційних мереж житлового будинку по вул. Підвальна,10 в м. Калуш Івано-Франківської області</w:t>
      </w:r>
      <w:r w:rsidRPr="00172CE5">
        <w:rPr>
          <w:color w:val="000000" w:themeColor="text1"/>
          <w:sz w:val="28"/>
          <w:szCs w:val="28"/>
        </w:rPr>
        <w:t>» - ID: </w:t>
      </w:r>
      <w:r w:rsidR="00F47327" w:rsidRPr="00172CE5">
        <w:rPr>
          <w:rStyle w:val="h-select-all"/>
          <w:color w:val="000000" w:themeColor="text1"/>
          <w:sz w:val="28"/>
          <w:szCs w:val="28"/>
          <w:bdr w:val="none" w:sz="0" w:space="0" w:color="auto" w:frame="1"/>
        </w:rPr>
        <w:t>UA-2021-09-09-010210-c</w:t>
      </w:r>
      <w:r w:rsidR="00F47327" w:rsidRPr="00172CE5">
        <w:rPr>
          <w:color w:val="000000" w:themeColor="text1"/>
          <w:sz w:val="28"/>
          <w:szCs w:val="28"/>
          <w:shd w:val="clear" w:color="auto" w:fill="FFFFFF"/>
        </w:rPr>
        <w:t> </w:t>
      </w:r>
      <w:r w:rsidR="00F47327" w:rsidRPr="00172CE5">
        <w:rPr>
          <w:color w:val="000000" w:themeColor="text1"/>
          <w:sz w:val="28"/>
          <w:szCs w:val="28"/>
        </w:rPr>
        <w:t xml:space="preserve"> </w:t>
      </w:r>
      <w:r w:rsidRPr="00172CE5">
        <w:rPr>
          <w:color w:val="000000" w:themeColor="text1"/>
          <w:sz w:val="28"/>
          <w:szCs w:val="28"/>
        </w:rPr>
        <w:t>УЖКГ Калуської міської ради повідомляє:</w:t>
      </w:r>
    </w:p>
    <w:p w:rsidR="002F76DB" w:rsidRDefault="002F76DB" w:rsidP="00DC4677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Обґрунтування розміру бюджетного призначення: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F76DB" w:rsidRPr="00286AD1" w:rsidRDefault="002F76DB" w:rsidP="00DC4677">
      <w:pPr>
        <w:pStyle w:val="a7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Відповідно до рішення сесії Калуської міської ради № </w:t>
      </w:r>
      <w:r w:rsidR="003705F4">
        <w:rPr>
          <w:rFonts w:ascii="Times New Roman" w:hAnsi="Times New Roman" w:cs="Times New Roman"/>
          <w:sz w:val="28"/>
          <w:szCs w:val="28"/>
        </w:rPr>
        <w:t>742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="003705F4">
        <w:rPr>
          <w:rFonts w:ascii="Times New Roman" w:hAnsi="Times New Roman" w:cs="Times New Roman"/>
          <w:sz w:val="28"/>
          <w:szCs w:val="28"/>
        </w:rPr>
        <w:t>26.08.2021</w:t>
      </w:r>
      <w:r>
        <w:rPr>
          <w:rFonts w:ascii="Times New Roman" w:hAnsi="Times New Roman" w:cs="Times New Roman"/>
          <w:sz w:val="28"/>
          <w:szCs w:val="28"/>
        </w:rPr>
        <w:t xml:space="preserve">р. «Про </w:t>
      </w:r>
      <w:r w:rsidR="003705F4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r>
        <w:rPr>
          <w:rFonts w:ascii="Times New Roman" w:hAnsi="Times New Roman" w:cs="Times New Roman"/>
          <w:sz w:val="28"/>
          <w:szCs w:val="28"/>
        </w:rPr>
        <w:t>Програм</w:t>
      </w:r>
      <w:r w:rsidR="003705F4">
        <w:rPr>
          <w:rFonts w:ascii="Times New Roman" w:hAnsi="Times New Roman" w:cs="Times New Roman"/>
          <w:sz w:val="28"/>
          <w:szCs w:val="28"/>
        </w:rPr>
        <w:t xml:space="preserve">и охорони навколишнього природного середовища </w:t>
      </w:r>
      <w:r>
        <w:rPr>
          <w:rFonts w:ascii="Times New Roman" w:hAnsi="Times New Roman" w:cs="Times New Roman"/>
          <w:sz w:val="28"/>
          <w:szCs w:val="28"/>
        </w:rPr>
        <w:t xml:space="preserve"> на 2021-202</w:t>
      </w:r>
      <w:r w:rsidR="003705F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р.р.»  для </w:t>
      </w:r>
      <w:r w:rsidR="003705F4">
        <w:rPr>
          <w:rFonts w:ascii="Times New Roman" w:hAnsi="Times New Roman" w:cs="Times New Roman"/>
          <w:sz w:val="28"/>
          <w:szCs w:val="28"/>
        </w:rPr>
        <w:t xml:space="preserve">покращення санітарно-технічного стану будинку та прибудинкової території по вул. Підвальна,10 </w:t>
      </w:r>
      <w:r w:rsidR="00286AD1">
        <w:rPr>
          <w:rFonts w:ascii="Times New Roman" w:hAnsi="Times New Roman" w:cs="Times New Roman"/>
          <w:sz w:val="28"/>
          <w:szCs w:val="28"/>
        </w:rPr>
        <w:t>на виконання робіт з</w:t>
      </w:r>
      <w:r w:rsidR="003705F4">
        <w:rPr>
          <w:rFonts w:ascii="Times New Roman" w:hAnsi="Times New Roman" w:cs="Times New Roman"/>
          <w:sz w:val="28"/>
          <w:szCs w:val="28"/>
        </w:rPr>
        <w:t xml:space="preserve"> проведення капітального ремонту каналізаційних мереж  </w:t>
      </w:r>
      <w:r>
        <w:rPr>
          <w:rFonts w:ascii="Times New Roman" w:hAnsi="Times New Roman" w:cs="Times New Roman"/>
          <w:sz w:val="28"/>
          <w:szCs w:val="28"/>
        </w:rPr>
        <w:t xml:space="preserve">передбачено </w:t>
      </w:r>
      <w:r w:rsidR="00286AD1">
        <w:rPr>
          <w:rFonts w:ascii="Times New Roman" w:hAnsi="Times New Roman" w:cs="Times New Roman"/>
          <w:sz w:val="28"/>
          <w:szCs w:val="28"/>
        </w:rPr>
        <w:t>252 353,00</w:t>
      </w:r>
      <w:r>
        <w:rPr>
          <w:rFonts w:ascii="Times New Roman" w:hAnsi="Times New Roman" w:cs="Times New Roman"/>
          <w:sz w:val="28"/>
          <w:szCs w:val="28"/>
        </w:rPr>
        <w:t xml:space="preserve"> грн</w:t>
      </w:r>
      <w:r w:rsidRPr="00286A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6DB" w:rsidRDefault="002F76DB" w:rsidP="002F76DB">
      <w:pPr>
        <w:pStyle w:val="a7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Обґрунтування очікуваної вартість предмета закупівлі: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6DB" w:rsidRDefault="002E0EA6" w:rsidP="002F76DB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6AD1">
        <w:rPr>
          <w:rFonts w:ascii="Times New Roman" w:hAnsi="Times New Roman" w:cs="Times New Roman"/>
          <w:sz w:val="28"/>
          <w:szCs w:val="28"/>
        </w:rPr>
        <w:t>В зв’язку</w:t>
      </w:r>
      <w:r>
        <w:rPr>
          <w:rFonts w:ascii="Times New Roman" w:hAnsi="Times New Roman" w:cs="Times New Roman"/>
          <w:sz w:val="28"/>
          <w:szCs w:val="28"/>
        </w:rPr>
        <w:t xml:space="preserve"> з тим, що проектні роботи в сумі 8000,00 грн. оплачені, а технічний нагляд залучатись не буде (2858,</w:t>
      </w:r>
      <w:r w:rsidR="001437B2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грн.)</w:t>
      </w:r>
      <w:r w:rsidRPr="00286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 сума </w:t>
      </w:r>
      <w:r w:rsidR="00920A23">
        <w:rPr>
          <w:rFonts w:ascii="Times New Roman" w:hAnsi="Times New Roman" w:cs="Times New Roman"/>
          <w:sz w:val="28"/>
          <w:szCs w:val="28"/>
        </w:rPr>
        <w:t xml:space="preserve">для проведення закупівлі робіт </w:t>
      </w:r>
      <w:r>
        <w:rPr>
          <w:rFonts w:ascii="Times New Roman" w:hAnsi="Times New Roman" w:cs="Times New Roman"/>
          <w:sz w:val="28"/>
          <w:szCs w:val="28"/>
        </w:rPr>
        <w:t>на «Капітальний ремонт каналізаційних мереж житлового будинку по вул. Підвальна,10 в м. Калуш Івано-Франківської області»</w:t>
      </w:r>
      <w:r w:rsidR="00920A23">
        <w:rPr>
          <w:rFonts w:ascii="Times New Roman" w:hAnsi="Times New Roman" w:cs="Times New Roman"/>
          <w:sz w:val="28"/>
          <w:szCs w:val="28"/>
        </w:rPr>
        <w:t xml:space="preserve"> -</w:t>
      </w:r>
      <w:r w:rsidR="00920A23" w:rsidRPr="00920A2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20A23">
        <w:rPr>
          <w:rFonts w:ascii="Times New Roman" w:hAnsi="Times New Roman" w:cs="Times New Roman"/>
          <w:color w:val="333333"/>
          <w:sz w:val="28"/>
          <w:szCs w:val="28"/>
        </w:rPr>
        <w:t>ID: </w:t>
      </w:r>
      <w:r w:rsidR="00920A23" w:rsidRPr="00F47327">
        <w:rPr>
          <w:rStyle w:val="h-select-all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UA-2021-09-09-010210-c</w:t>
      </w:r>
      <w:r w:rsidR="00920A23">
        <w:rPr>
          <w:rStyle w:val="h-select-all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становить</w:t>
      </w:r>
      <w:r>
        <w:rPr>
          <w:rStyle w:val="h-select-all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239 323,00 </w:t>
      </w:r>
      <w:r w:rsidR="002F76DB">
        <w:rPr>
          <w:rFonts w:ascii="Times New Roman" w:hAnsi="Times New Roman" w:cs="Times New Roman"/>
          <w:sz w:val="28"/>
          <w:szCs w:val="28"/>
        </w:rPr>
        <w:t xml:space="preserve">грн. </w:t>
      </w:r>
    </w:p>
    <w:tbl>
      <w:tblPr>
        <w:tblW w:w="1023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0"/>
      </w:tblGrid>
      <w:tr w:rsidR="002F76DB" w:rsidTr="002F76DB">
        <w:trPr>
          <w:trHeight w:val="243"/>
          <w:jc w:val="center"/>
        </w:trPr>
        <w:tc>
          <w:tcPr>
            <w:tcW w:w="10230" w:type="dxa"/>
            <w:hideMark/>
          </w:tcPr>
          <w:p w:rsidR="002426AC" w:rsidRDefault="002F76DB" w:rsidP="002426AC">
            <w:pPr>
              <w:pStyle w:val="a7"/>
              <w:keepLines/>
              <w:numPr>
                <w:ilvl w:val="0"/>
                <w:numId w:val="1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Технічні та якісні характеристики  предмета </w:t>
            </w:r>
          </w:p>
          <w:tbl>
            <w:tblPr>
              <w:tblW w:w="10230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9"/>
              <w:gridCol w:w="6804"/>
              <w:gridCol w:w="1019"/>
              <w:gridCol w:w="730"/>
              <w:gridCol w:w="1138"/>
            </w:tblGrid>
            <w:tr w:rsidR="004A7371" w:rsidTr="00CB139C">
              <w:trPr>
                <w:trHeight w:val="243"/>
                <w:jc w:val="center"/>
              </w:trPr>
              <w:tc>
                <w:tcPr>
                  <w:tcW w:w="10230" w:type="dxa"/>
                  <w:gridSpan w:val="5"/>
                </w:tcPr>
                <w:p w:rsidR="004A7371" w:rsidRDefault="004A7371" w:rsidP="004E016B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lang w:val="en-US"/>
                    </w:rPr>
                  </w:pPr>
                  <w:r w:rsidRPr="00B2460C">
                    <w:rPr>
                      <w:b/>
                      <w:spacing w:val="-3"/>
                    </w:rPr>
                    <w:t>Об'єми робіт</w:t>
                  </w:r>
                </w:p>
              </w:tc>
            </w:tr>
            <w:tr w:rsidR="004A7371" w:rsidTr="00DC4677">
              <w:trPr>
                <w:trHeight w:val="1050"/>
                <w:jc w:val="center"/>
              </w:trPr>
              <w:tc>
                <w:tcPr>
                  <w:tcW w:w="53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lastRenderedPageBreak/>
                    <w:t>№</w:t>
                  </w:r>
                </w:p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п/п</w:t>
                  </w:r>
                </w:p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6804" w:type="dxa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Найменування робіт і витрат</w:t>
                  </w:r>
                </w:p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019" w:type="dxa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Одиниця</w:t>
                  </w:r>
                </w:p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виміру</w:t>
                  </w:r>
                </w:p>
              </w:tc>
              <w:tc>
                <w:tcPr>
                  <w:tcW w:w="730" w:type="dxa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Кіль-</w:t>
                  </w:r>
                </w:p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кість</w:t>
                  </w:r>
                </w:p>
              </w:tc>
              <w:tc>
                <w:tcPr>
                  <w:tcW w:w="1138" w:type="dxa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</w:p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Примітка</w:t>
                  </w: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5</w:t>
                  </w: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b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b/>
                      <w:spacing w:val="-3"/>
                      <w:sz w:val="24"/>
                      <w:szCs w:val="24"/>
                    </w:rPr>
                    <w:t>Внутрішні мережі каналізаційні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Розбирання бетонних фундаментів (пробивання отворів у фундаментах)</w:t>
                  </w:r>
                </w:p>
              </w:tc>
              <w:tc>
                <w:tcPr>
                  <w:tcW w:w="10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80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 xml:space="preserve">Розробка ґрунту всередині будівлі в траншеях підвищення вологості, що сильно налипає  на інструменти, вручну,  група </w:t>
                  </w:r>
                  <w:proofErr w:type="spellStart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грунтів</w:t>
                  </w:r>
                  <w:proofErr w:type="spellEnd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 xml:space="preserve">  2 (в приміщеннях висотою  до  1,8м)   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</w:t>
                  </w: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10,7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RPr="000E6566" w:rsidTr="00DC4677">
              <w:trPr>
                <w:trHeight w:val="274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Улаштування піщаної основи під трубопроводи ( в приміщеннях висотою до 1,8м)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</w:t>
                  </w: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1,82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74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Прокладання трубопроводів каналізації з поліетиленових труб діаметром 100мм ( в приміщеннях висотою до 1,8м )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74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Труба  каналізаційна  поліетиленова ф110мм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40,1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304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180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Трійник</w:t>
                  </w: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ab/>
                    <w:t xml:space="preserve"> 110х110/90</w:t>
                  </w: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ab/>
                  </w: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proofErr w:type="spellStart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Коліно каналізація 110х90*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proofErr w:type="spellStart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Перехідник 110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Засипання вручну траншей, пазух котлованів та ям, група ґрунту 2 (в приміщеннях висотою до 1,8м )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Укладання труб каналізаційних азбестоцементних Д 200мм в траншеї  без розпорів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b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b/>
                      <w:spacing w:val="-3"/>
                      <w:sz w:val="24"/>
                      <w:szCs w:val="24"/>
                    </w:rPr>
                    <w:t>Зовнішні мережі каналізаційні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11.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Труби азбестоцементні, клас ВТ-6, Д </w:t>
                  </w:r>
                  <w:smartTag w:uri="urn:schemas-microsoft-com:office:smarttags" w:element="metricconverter">
                    <w:smartTagPr>
                      <w:attr w:name="ProductID" w:val="200 мм"/>
                    </w:smartTagPr>
                    <w:r w:rsidRPr="00DC4677">
                      <w:rPr>
                        <w:rFonts w:ascii="Times New Roman" w:hAnsi="Times New Roman" w:cs="Times New Roman"/>
                        <w:spacing w:val="-3"/>
                        <w:sz w:val="24"/>
                        <w:szCs w:val="24"/>
                      </w:rPr>
                      <w:t>200 мм</w:t>
                    </w:r>
                  </w:smartTag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6,048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Розбирання покриттів та основ бруківки з булижного каменю вручну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13.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Розбирання покриття асфальтових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14.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 xml:space="preserve">Розробка ґрунту екскаватором з доробкою вручну, група  ґрунту 2   підвищеної вологості, що сильно налипає на стінках і зубах </w:t>
                  </w:r>
                  <w:proofErr w:type="spellStart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ковша</w:t>
                  </w:r>
                  <w:proofErr w:type="spellEnd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8,5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Розробка ґрунту  вручну,   в траншеях глибиною до 2м без  кріплень з укосами,  група ґрунту 2 ( доробка вручну,  розробленого механізованим способом)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16.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proofErr w:type="spellStart"/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Улащтування</w:t>
                  </w:r>
                  <w:proofErr w:type="spellEnd"/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 піщаної основи під трубопроводи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8,1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Укладання труб поліетиленових діаметром 110мм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18.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Труба каналізаційна ПВХ Д110мм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24,24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19.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Перехідник 110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proofErr w:type="spellStart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20.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Укладання труб поліетиленових діаметром 160мм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21.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Труба каналізаційна ф160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72,72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22.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</w:rPr>
                    <w:t xml:space="preserve">Засипання вручну траншей, пазух котлованів та ям, група   </w:t>
                  </w: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</w:rPr>
                    <w:t>ґрунту 2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60,5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23.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Пробивання отворів в залізобетонних колодязях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proofErr w:type="spellStart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24.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Улаштування круглих збірних залізобетонних каналізаційних колодязів діаметром 1м у мокрих </w:t>
                  </w:r>
                  <w:proofErr w:type="spellStart"/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грунтах</w:t>
                  </w:r>
                  <w:proofErr w:type="spellEnd"/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5,36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Кільця </w:t>
                  </w: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en-US"/>
                    </w:rPr>
                    <w:t>KC</w:t>
                  </w: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10.9 </w:t>
                  </w: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залізобетонні серія 3.9001-14 випуск 1</w:t>
                  </w: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proofErr w:type="spellStart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26.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Плити покриття1ПП10-1 залізобетонні серія 3.900.1-14 випуск1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proofErr w:type="spellStart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27.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Готування важкого бетону на </w:t>
                  </w:r>
                  <w:proofErr w:type="spellStart"/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щебені</w:t>
                  </w:r>
                  <w:proofErr w:type="spellEnd"/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, клас бетону  В15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2,86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28.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Кришка з люком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proofErr w:type="spellStart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29.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Укладання труб каналізаційних азбестоцементних діаметром  200мм в траншеї без розпорів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30.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Труби азбестоцементні, клас ВТ-6, діаметр 200мм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6,048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31.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Укладання труб сталевих Д200мм у траншеї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32.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Труби сталеві електрозварні Д200мм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4,016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b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b/>
                      <w:spacing w:val="-3"/>
                      <w:sz w:val="24"/>
                      <w:szCs w:val="24"/>
                    </w:rPr>
                    <w:t>Дренаж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33.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Розбирання покриття асфальтових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34.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 xml:space="preserve">Розробка ґрунту екскаватором з доробкою вручну, група  ґрунту 2   підвищеної вологості, що сильно налипає на стінках і зубах </w:t>
                  </w:r>
                  <w:proofErr w:type="spellStart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ковша</w:t>
                  </w:r>
                  <w:proofErr w:type="spellEnd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35.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 xml:space="preserve">Розробка ґрунту  вручну, в траншеях шириною до 2м, глибиною до 2м з  кріпленнями,  група ґрунту 2  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5,5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36.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Засипання вручну траншей, пазух котлованів та ям, група   </w:t>
                  </w: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ґрунту 2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37.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Улаштування піщаної основи під трубопроводи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38.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Укладання труб поліетиленових  Д160мм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39.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Труби дренажі Д160мм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40.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Пробивання отворів в залізобетонних колодязях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proofErr w:type="spellStart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41.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Улаштування круглих збірних залізобетонних каналізаційних колодязів діаметром 1м  у мокрих </w:t>
                  </w:r>
                  <w:proofErr w:type="spellStart"/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грунтах</w:t>
                  </w:r>
                  <w:proofErr w:type="spellEnd"/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1,52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42.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Кільця </w:t>
                  </w: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en-US"/>
                    </w:rPr>
                    <w:t>KC</w:t>
                  </w: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10.9 </w:t>
                  </w: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залізобетонні серія 3.900.1-14 випуск 1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proofErr w:type="spellStart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43.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Плити покриття1ПП10-1 залізобетонні серія 3.900.1-14 випуск1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proofErr w:type="spellStart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44.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Кришка з люком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proofErr w:type="spellStart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45.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Дощоприймач з решіткою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proofErr w:type="spellStart"/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46.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Готування важкого бетону на </w:t>
                  </w:r>
                  <w:proofErr w:type="spellStart"/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щебені</w:t>
                  </w:r>
                  <w:proofErr w:type="spellEnd"/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, клас бетону  В15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0,82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b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b/>
                      <w:spacing w:val="-3"/>
                      <w:sz w:val="24"/>
                      <w:szCs w:val="24"/>
                    </w:rPr>
                    <w:t>Відновлення благоустрою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47.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Улаштування підстильного шару щебеневого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5,45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48.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Улаштування покриттів з </w:t>
                  </w:r>
                  <w:proofErr w:type="spellStart"/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дрібнорозмірних</w:t>
                  </w:r>
                  <w:proofErr w:type="spellEnd"/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фігурних елементів мощення (Ф</w:t>
                  </w: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>Э</w:t>
                  </w: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М)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  <w:lang w:val="ru-RU"/>
                    </w:rPr>
                    <w:t>м2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4,2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49.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proofErr w:type="spellStart"/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>Бруківка</w:t>
                  </w:r>
                  <w:proofErr w:type="spellEnd"/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  <w:lang w:val="ru-RU"/>
                    </w:rPr>
                    <w:t>м2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4,2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Улаштування покриттів товщиною 4см із гарячих асфальтобетонних сумішей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  <w:lang w:val="ru-RU"/>
                    </w:rPr>
                    <w:t>м2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51.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На кожні 0,5см зміни товщини шару додавати або виключати до норми 18-43-1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  <w:lang w:val="ru-RU"/>
                    </w:rPr>
                    <w:t>м2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  <w:tr w:rsidR="004A7371" w:rsidTr="00DC4677">
              <w:trPr>
                <w:trHeight w:val="243"/>
                <w:jc w:val="center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52.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Суміші асфальтобетонні гарячі і теплі (асфальтобетон щільний), (дорожні ) (аеродромні ), що застосовуються у верхніх шарах покриттів, дрібнозернисті, тип Б, марка 2 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iCs/>
                      <w:spacing w:val="-3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46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2,5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7371" w:rsidRPr="00DC4677" w:rsidRDefault="004A7371" w:rsidP="004A7371">
                  <w:pPr>
                    <w:keepLines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spacing w:line="254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3"/>
                      <w:sz w:val="24"/>
                      <w:szCs w:val="24"/>
                    </w:rPr>
                  </w:pPr>
                </w:p>
              </w:tc>
            </w:tr>
          </w:tbl>
          <w:p w:rsidR="002F76DB" w:rsidRDefault="002F76DB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F76DB" w:rsidRDefault="002F76DB" w:rsidP="002F76DB">
      <w:pPr>
        <w:pStyle w:val="a5"/>
        <w:spacing w:before="10" w:line="276" w:lineRule="auto"/>
        <w:ind w:left="280"/>
        <w:rPr>
          <w:b/>
          <w:sz w:val="28"/>
          <w:szCs w:val="28"/>
        </w:rPr>
      </w:pPr>
    </w:p>
    <w:p w:rsidR="00C665A6" w:rsidRDefault="002F76DB" w:rsidP="00C66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4" w:lineRule="auto"/>
        <w:ind w:firstLine="708"/>
        <w:jc w:val="both"/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</w:pPr>
      <w:r w:rsidRPr="00C665A6">
        <w:rPr>
          <w:rFonts w:ascii="Times New Roman" w:hAnsi="Times New Roman" w:cs="Times New Roman"/>
          <w:b/>
          <w:sz w:val="28"/>
          <w:szCs w:val="28"/>
        </w:rPr>
        <w:t>Вимоги до надання послуг:</w:t>
      </w:r>
      <w:r w:rsidR="00C665A6" w:rsidRPr="00C665A6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 xml:space="preserve"> </w:t>
      </w:r>
    </w:p>
    <w:p w:rsidR="00C665A6" w:rsidRPr="00C665A6" w:rsidRDefault="00C665A6" w:rsidP="00DC4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Роботи по капітальному ремонту </w:t>
      </w:r>
      <w:r w:rsidRPr="00C665A6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каналізаційних мереж житлового будинку по вул.Підвальна,10 в м. </w:t>
      </w:r>
      <w:proofErr w:type="spellStart"/>
      <w:r w:rsidRPr="00C665A6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Калуші</w:t>
      </w:r>
      <w:proofErr w:type="spellEnd"/>
      <w:r w:rsidRPr="00C665A6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Івано-Франківської області</w:t>
      </w:r>
      <w:r w:rsidRPr="00C665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повинні бути виконані відповідно до умов укладеного Договору та проектно-кошторисної документації з дотриманням Державних будівельних норм та стандартів, із застосуванням виробів та матеріалів, якість яких підтверджується відповідними сертифікатами та паспортами, з дотриманням безпечних умов праці та виконанням вимог нормативно - правових актів з охорони праці та промислової безпеки.</w:t>
      </w:r>
    </w:p>
    <w:p w:rsidR="00C665A6" w:rsidRPr="00C665A6" w:rsidRDefault="00DC4677" w:rsidP="00DC4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665A6"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Технологія та якість виконуваних робіт, якість застосованих матеріалів повинні відповідати вимогам діючих державних стандартів, будівельних, протипожежних та санітарних норм і правил встановлених для даних видів робіт.</w:t>
      </w:r>
    </w:p>
    <w:p w:rsidR="00C665A6" w:rsidRPr="00C665A6" w:rsidRDefault="00C665A6" w:rsidP="00DC4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Використовувані матеріали і обладнання повинні відповідати кошторисній документації, державним стандартам і технічним умовам. </w:t>
      </w:r>
    </w:p>
    <w:p w:rsidR="00C665A6" w:rsidRPr="00C665A6" w:rsidRDefault="00C665A6" w:rsidP="00DC4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Матеріали, які будуть використовуватися для виконання робіт повинні мати наступні параметри:</w:t>
      </w:r>
    </w:p>
    <w:p w:rsidR="00C665A6" w:rsidRPr="00C665A6" w:rsidRDefault="00C665A6" w:rsidP="00DC4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токсичні, не відноситися до горючих матеріалів;</w:t>
      </w:r>
    </w:p>
    <w:p w:rsidR="00C665A6" w:rsidRPr="00C665A6" w:rsidRDefault="00C665A6" w:rsidP="00DC4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термін служби не менше 10 років;</w:t>
      </w:r>
    </w:p>
    <w:p w:rsidR="00C665A6" w:rsidRPr="00C665A6" w:rsidRDefault="00C665A6" w:rsidP="00DC4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мати високі зносостійкі властивості;</w:t>
      </w:r>
    </w:p>
    <w:p w:rsidR="00C665A6" w:rsidRPr="00C665A6" w:rsidRDefault="00C665A6" w:rsidP="00DC4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відповідати вимогам безпеки;</w:t>
      </w:r>
    </w:p>
    <w:p w:rsidR="00C665A6" w:rsidRPr="00C665A6" w:rsidRDefault="00C665A6" w:rsidP="00DC4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ремонтно – будівельні роботи повинні відповідати вимогам ДБН В.2.2-4:2018</w:t>
      </w:r>
    </w:p>
    <w:p w:rsidR="00C665A6" w:rsidRPr="00C665A6" w:rsidRDefault="00C665A6" w:rsidP="00DC4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виконанні робіт обов’язково погоджувати з замовником зразки матеріалів, виробів та їх вартість. </w:t>
      </w:r>
    </w:p>
    <w:p w:rsidR="00C665A6" w:rsidRPr="00C665A6" w:rsidRDefault="00C665A6" w:rsidP="00DC4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протязі проведення капітального ремонту проводиться технічний нагляд з метою дотримання норм ДСТУ ( ДБН ). </w:t>
      </w:r>
    </w:p>
    <w:p w:rsidR="00C665A6" w:rsidRPr="00C665A6" w:rsidRDefault="00C665A6" w:rsidP="00DC4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Підрядник повинен пред’являти замовнику приховані роботи з оформленням відповідного акту. В протилежному випадку зазначені роботи до оплати прийматися не будуть.</w:t>
      </w:r>
    </w:p>
    <w:p w:rsidR="00C665A6" w:rsidRPr="00C665A6" w:rsidRDefault="00C665A6" w:rsidP="00DC4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Учасник визначає ціни з урахуванням всіх видів та обсягів робіт, що повинні бути виконані. </w:t>
      </w:r>
    </w:p>
    <w:p w:rsidR="00C665A6" w:rsidRPr="00C665A6" w:rsidRDefault="00C665A6" w:rsidP="00DC4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складанні ціни пропозиції (договірної ціни) на виконання підрядних робіт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постачання.</w:t>
      </w:r>
    </w:p>
    <w:p w:rsidR="00C665A6" w:rsidRPr="00C665A6" w:rsidRDefault="00C665A6" w:rsidP="00DC4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Якщо пропозиція закупівлі учасника містить не всі види робіт або зміну обсягів та складу робіт згідно з оголошенням </w:t>
      </w:r>
      <w:proofErr w:type="spellStart"/>
      <w:r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закупівель</w:t>
      </w:r>
      <w:proofErr w:type="spellEnd"/>
      <w:r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ця пропозиція вважається такою, що не відповідає умовам оголошення закупівлі, та відхиляється замовником.</w:t>
      </w:r>
    </w:p>
    <w:p w:rsidR="00C665A6" w:rsidRPr="00C665A6" w:rsidRDefault="00C665A6" w:rsidP="00DC4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  надає цінову пропозицію у відповідності до технічного завдання Замовника. Ціна пропозиції Учасника означає суму, за яку він передбачає виконати роботи, згідно з технічним завданням Замовника, на підставі нормативної потреби в трудових і матеріально-технічних ресурсах, необхідних для виконання робіт на об’єкті та поточних цін на них, з урахуванням робіт, що виконуються субпідрядними організаціями (у разі їх залучення). Ціна пропозиції повинна бути чітко визначена без будь-яких посилань обмежень або застережень.</w:t>
      </w:r>
    </w:p>
    <w:p w:rsidR="002F76DB" w:rsidRPr="00C665A6" w:rsidRDefault="002F76DB" w:rsidP="00DC4677">
      <w:pPr>
        <w:pStyle w:val="11"/>
        <w:spacing w:before="90" w:line="276" w:lineRule="auto"/>
        <w:ind w:left="280"/>
        <w:rPr>
          <w:sz w:val="28"/>
          <w:szCs w:val="28"/>
        </w:rPr>
      </w:pPr>
    </w:p>
    <w:p w:rsidR="002F76DB" w:rsidRDefault="002F76DB" w:rsidP="00C665A6">
      <w:pPr>
        <w:tabs>
          <w:tab w:val="left" w:pos="6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76" w:lineRule="auto"/>
        <w:ind w:left="334"/>
        <w:contextualSpacing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ab/>
        <w:t xml:space="preserve">     </w:t>
      </w:r>
    </w:p>
    <w:p w:rsidR="002F76DB" w:rsidRDefault="002F76DB" w:rsidP="00DC4677">
      <w:pPr>
        <w:tabs>
          <w:tab w:val="left" w:pos="6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ab/>
        <w:t xml:space="preserve">    </w:t>
      </w:r>
    </w:p>
    <w:p w:rsidR="002F76DB" w:rsidRDefault="002F76DB" w:rsidP="002F7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DB" w:rsidRDefault="00DC4677" w:rsidP="002F76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н</w:t>
      </w:r>
      <w:r w:rsidR="002F76D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76DB">
        <w:rPr>
          <w:rFonts w:ascii="Times New Roman" w:hAnsi="Times New Roman" w:cs="Times New Roman"/>
          <w:sz w:val="28"/>
          <w:szCs w:val="28"/>
        </w:rPr>
        <w:t xml:space="preserve"> УЖКГ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F76D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Тарас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Фіцак</w:t>
      </w:r>
      <w:proofErr w:type="spellEnd"/>
    </w:p>
    <w:p w:rsidR="002F76DB" w:rsidRDefault="002F76DB" w:rsidP="002F76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</w:t>
      </w:r>
    </w:p>
    <w:p w:rsidR="002F76DB" w:rsidRDefault="002F76DB" w:rsidP="002F76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76DB" w:rsidRDefault="002F76DB" w:rsidP="002F76DB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F76DB" w:rsidRDefault="002F76DB" w:rsidP="002F76DB">
      <w:pPr>
        <w:rPr>
          <w:rFonts w:ascii="Times New Roman" w:hAnsi="Times New Roman" w:cs="Times New Roman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2F76DB" w:rsidRDefault="002F76DB" w:rsidP="002F76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5F5A" w:rsidRDefault="00975F5A"/>
    <w:sectPr w:rsidR="00975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5A"/>
    <w:rsid w:val="001437B2"/>
    <w:rsid w:val="00172CE5"/>
    <w:rsid w:val="002426AC"/>
    <w:rsid w:val="00286AD1"/>
    <w:rsid w:val="002E0EA6"/>
    <w:rsid w:val="002F76DB"/>
    <w:rsid w:val="003705F4"/>
    <w:rsid w:val="004A7371"/>
    <w:rsid w:val="004E016B"/>
    <w:rsid w:val="005B7190"/>
    <w:rsid w:val="00693467"/>
    <w:rsid w:val="006B0389"/>
    <w:rsid w:val="00920A23"/>
    <w:rsid w:val="00975F5A"/>
    <w:rsid w:val="00A35D52"/>
    <w:rsid w:val="00AA6777"/>
    <w:rsid w:val="00C665A6"/>
    <w:rsid w:val="00CB139C"/>
    <w:rsid w:val="00DC4677"/>
    <w:rsid w:val="00F4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2377F6"/>
  <w15:chartTrackingRefBased/>
  <w15:docId w15:val="{27274B18-C238-419C-931A-7977696A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6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6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F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2F76DB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2F76D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2F76DB"/>
    <w:pPr>
      <w:spacing w:after="200" w:line="276" w:lineRule="auto"/>
      <w:ind w:left="720"/>
      <w:contextualSpacing/>
    </w:pPr>
  </w:style>
  <w:style w:type="paragraph" w:customStyle="1" w:styleId="11">
    <w:name w:val="Заголовок 11"/>
    <w:basedOn w:val="a"/>
    <w:uiPriority w:val="1"/>
    <w:semiHidden/>
    <w:qFormat/>
    <w:rsid w:val="002F76DB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-select-all">
    <w:name w:val="h-select-all"/>
    <w:basedOn w:val="a0"/>
    <w:rsid w:val="002F76DB"/>
  </w:style>
  <w:style w:type="character" w:customStyle="1" w:styleId="hgkelc">
    <w:name w:val="hgkelc"/>
    <w:basedOn w:val="a0"/>
    <w:rsid w:val="002F76DB"/>
  </w:style>
  <w:style w:type="character" w:styleId="a8">
    <w:name w:val="Emphasis"/>
    <w:basedOn w:val="a0"/>
    <w:uiPriority w:val="20"/>
    <w:qFormat/>
    <w:rsid w:val="002F76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0-12-22-020156-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D38C-D7FF-4E04-B702-028C68AC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5632</Words>
  <Characters>3211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16</cp:revision>
  <dcterms:created xsi:type="dcterms:W3CDTF">2021-09-14T08:25:00Z</dcterms:created>
  <dcterms:modified xsi:type="dcterms:W3CDTF">2021-09-20T10:53:00Z</dcterms:modified>
</cp:coreProperties>
</file>