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CE4729">
        <w:rPr>
          <w:rFonts w:ascii="Times New Roman" w:hAnsi="Times New Roman" w:cs="Times New Roman"/>
          <w:b/>
          <w:sz w:val="28"/>
          <w:szCs w:val="28"/>
        </w:rPr>
        <w:t>серп</w:t>
      </w:r>
      <w:r w:rsidR="001B01B3">
        <w:rPr>
          <w:rFonts w:ascii="Times New Roman" w:hAnsi="Times New Roman" w:cs="Times New Roman"/>
          <w:b/>
          <w:sz w:val="28"/>
          <w:szCs w:val="28"/>
        </w:rPr>
        <w:t>е</w:t>
      </w:r>
      <w:r w:rsidR="00CE4729">
        <w:rPr>
          <w:rFonts w:ascii="Times New Roman" w:hAnsi="Times New Roman" w:cs="Times New Roman"/>
          <w:b/>
          <w:sz w:val="28"/>
          <w:szCs w:val="28"/>
        </w:rPr>
        <w:t>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94295" cy="2820473"/>
            <wp:effectExtent l="19050" t="0" r="2535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2706" cy="2691684"/>
            <wp:effectExtent l="19050" t="0" r="20794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97162" cy="2788276"/>
            <wp:effectExtent l="19050" t="0" r="22538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C96874" w:rsidRPr="00C968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4885" cy="3090930"/>
            <wp:effectExtent l="19050" t="0" r="1341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CE4729">
        <w:rPr>
          <w:rFonts w:ascii="Times New Roman" w:hAnsi="Times New Roman" w:cs="Times New Roman"/>
          <w:b/>
          <w:sz w:val="28"/>
          <w:szCs w:val="28"/>
        </w:rPr>
        <w:t>серпень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891873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3462071"/>
            <wp:effectExtent l="19050" t="0" r="13335" b="5029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4F3" w:rsidRDefault="006D14F3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5D" w:rsidRDefault="00A53CA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1873" w:rsidRPr="008918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20765" cy="2552518"/>
                <wp:effectExtent l="228600" t="228600" r="203835" b="229235"/>
                <wp:docPr id="7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552518"/>
                          <a:chOff x="2555332" y="1585759"/>
                          <a:chExt cx="8142510" cy="3556000"/>
                        </a:xfr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1" name="Полилиния 11"/>
                        <wps:cNvSpPr/>
                        <wps:spPr>
                          <a:xfrm>
                            <a:off x="5806531" y="1585759"/>
                            <a:ext cx="4876800" cy="1693333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091210" w:rsidRDefault="00091210" w:rsidP="00091210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8 договорів оренди землі;</w:t>
                              </w:r>
                            </w:p>
                            <w:p w:rsidR="00091210" w:rsidRDefault="00091210" w:rsidP="00091210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площею  1,2821 га.</w:t>
                              </w:r>
                            </w:p>
                            <w:p w:rsidR="00091210" w:rsidRDefault="00091210" w:rsidP="00091210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213 678,86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2614207" y="1601174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1210" w:rsidRDefault="00091210" w:rsidP="00091210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договори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5821042" y="3448425"/>
                            <a:ext cx="4876800" cy="1693334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091210" w:rsidRDefault="00091210" w:rsidP="00091210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8 додаткових угод;</w:t>
                              </w:r>
                            </w:p>
                            <w:p w:rsidR="00091210" w:rsidRDefault="00091210" w:rsidP="00091210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1 958 687,68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2555332" y="3448425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1210" w:rsidRDefault="00091210" w:rsidP="00091210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додаткові угоди до договорів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81.95pt;height:201pt;mso-position-horizontal-relative:char;mso-position-vertical-relative:line" coordorigin="25553,15857" coordsize="8142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">
                <v:shape id="Полилиния 11" o:spid="_x0000_s1027" style="position:absolute;left:58065;top:15857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7;4030134,1693333;4030134,1481666;0,1481666;0,211667" o:connectangles="0,0,0,0,0,0,0,0" textboxrect="0,0,4876800,1693333"/>
                  <v:textbox inset="1.45pt,6.39117mm,51.45pt,6.39117mm">
                    <w:txbxContent>
                      <w:p w:rsidR="00091210" w:rsidRDefault="00091210" w:rsidP="00091210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8 договорів оренди землі;</w:t>
                        </w:r>
                      </w:p>
                      <w:p w:rsidR="00091210" w:rsidRDefault="00091210" w:rsidP="00091210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площею  1,2821 га.</w:t>
                        </w:r>
                      </w:p>
                      <w:p w:rsidR="00091210" w:rsidRDefault="00091210" w:rsidP="00091210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213 678,86 грн.</w:t>
                        </w:r>
                      </w:p>
                    </w:txbxContent>
                  </v:textbox>
                </v:shape>
                <v:shape id="Полилиния 12" o:spid="_x0000_s1028" style="position:absolute;left:26142;top:16011;width:32512;height:16934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237991;52429f #30a0be;1 #2ea2c1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091210" w:rsidRDefault="00091210" w:rsidP="00091210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договори оренди землі</w:t>
                        </w:r>
                      </w:p>
                    </w:txbxContent>
                  </v:textbox>
                </v:shape>
                <v:shape id="Полилиния 13" o:spid="_x0000_s1029" style="position:absolute;left:58210;top:34484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8;4030134,1693334;4030134,1481667;0,1481667;0,211667" o:connectangles="0,0,0,0,0,0,0,0" textboxrect="0,0,4876800,1693333"/>
                  <v:textbox inset="1.45pt,6.39117mm,51.45pt,6.39117mm">
                    <w:txbxContent>
                      <w:p w:rsidR="00091210" w:rsidRDefault="00091210" w:rsidP="00091210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8 додаткових угод;</w:t>
                        </w:r>
                      </w:p>
                      <w:p w:rsidR="00091210" w:rsidRDefault="00091210" w:rsidP="00091210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1 958 687,68 грн.</w:t>
                        </w:r>
                      </w:p>
                    </w:txbxContent>
                  </v:textbox>
                </v:shape>
                <v:shape id="Полилиния 14" o:spid="_x0000_s1030" style="position:absolute;left:25553;top:34484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5f8a93;52429f #7eb6c1;1 #7db7c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091210" w:rsidRDefault="00091210" w:rsidP="00091210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додаткові угоди до договорів оренди землі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4147E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53D71">
        <w:rPr>
          <w:rFonts w:ascii="Times New Roman" w:hAnsi="Times New Roman" w:cs="Times New Roman"/>
          <w:b/>
          <w:sz w:val="26"/>
          <w:szCs w:val="26"/>
        </w:rPr>
        <w:t>2021рік:</w:t>
      </w:r>
    </w:p>
    <w:p w:rsidR="00D57B01" w:rsidRPr="00D57B01" w:rsidRDefault="00725192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>яду 94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40 рішень з розгляду 208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876EC2">
        <w:rPr>
          <w:rFonts w:ascii="Times New Roman" w:hAnsi="Times New Roman" w:cs="Times New Roman"/>
          <w:sz w:val="26"/>
          <w:szCs w:val="26"/>
        </w:rPr>
        <w:t xml:space="preserve"> ЦНАП – 92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876EC2">
        <w:rPr>
          <w:rFonts w:ascii="Times New Roman" w:hAnsi="Times New Roman" w:cs="Times New Roman"/>
          <w:sz w:val="26"/>
          <w:szCs w:val="26"/>
        </w:rPr>
        <w:t>и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876EC2">
        <w:rPr>
          <w:rFonts w:ascii="Times New Roman" w:hAnsi="Times New Roman" w:cs="Times New Roman"/>
          <w:sz w:val="26"/>
          <w:szCs w:val="26"/>
        </w:rPr>
        <w:t>212</w:t>
      </w:r>
      <w:r w:rsidR="00B4147E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заяв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876EC2">
        <w:rPr>
          <w:rFonts w:ascii="Times New Roman" w:hAnsi="Times New Roman" w:cs="Times New Roman"/>
          <w:sz w:val="26"/>
          <w:szCs w:val="26"/>
        </w:rPr>
        <w:t>26</w:t>
      </w:r>
      <w:r w:rsidR="00662F40">
        <w:rPr>
          <w:rFonts w:ascii="Times New Roman" w:hAnsi="Times New Roman" w:cs="Times New Roman"/>
          <w:sz w:val="26"/>
          <w:szCs w:val="26"/>
        </w:rPr>
        <w:t xml:space="preserve"> заяв</w:t>
      </w:r>
      <w:r w:rsidR="00876EC2">
        <w:rPr>
          <w:rFonts w:ascii="Times New Roman" w:hAnsi="Times New Roman" w:cs="Times New Roman"/>
          <w:sz w:val="26"/>
          <w:szCs w:val="26"/>
        </w:rPr>
        <w:t xml:space="preserve">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23A2">
        <w:rPr>
          <w:rFonts w:ascii="Times New Roman" w:hAnsi="Times New Roman" w:cs="Times New Roman"/>
          <w:sz w:val="26"/>
          <w:szCs w:val="26"/>
        </w:rPr>
        <w:t xml:space="preserve"> </w:t>
      </w:r>
      <w:r w:rsidR="00876EC2">
        <w:rPr>
          <w:rFonts w:ascii="Times New Roman" w:hAnsi="Times New Roman" w:cs="Times New Roman"/>
          <w:sz w:val="26"/>
          <w:szCs w:val="26"/>
        </w:rPr>
        <w:t xml:space="preserve">   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876EC2">
        <w:rPr>
          <w:rFonts w:ascii="Times New Roman" w:hAnsi="Times New Roman" w:cs="Times New Roman"/>
          <w:sz w:val="26"/>
          <w:szCs w:val="26"/>
        </w:rPr>
        <w:t xml:space="preserve"> 32</w:t>
      </w:r>
      <w:r w:rsidR="00662F40">
        <w:rPr>
          <w:rFonts w:ascii="Times New Roman" w:hAnsi="Times New Roman" w:cs="Times New Roman"/>
          <w:sz w:val="26"/>
          <w:szCs w:val="26"/>
        </w:rPr>
        <w:t xml:space="preserve">  заяв</w:t>
      </w:r>
      <w:r w:rsidR="00B4147E">
        <w:rPr>
          <w:rFonts w:ascii="Times New Roman" w:hAnsi="Times New Roman" w:cs="Times New Roman"/>
          <w:sz w:val="26"/>
          <w:szCs w:val="26"/>
        </w:rPr>
        <w:t>и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876EC2">
        <w:rPr>
          <w:rFonts w:ascii="Times New Roman" w:hAnsi="Times New Roman" w:cs="Times New Roman"/>
          <w:sz w:val="26"/>
          <w:szCs w:val="26"/>
        </w:rPr>
        <w:t>Громадяни – 10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876EC2">
        <w:rPr>
          <w:rFonts w:ascii="Times New Roman" w:hAnsi="Times New Roman" w:cs="Times New Roman"/>
          <w:sz w:val="26"/>
          <w:szCs w:val="26"/>
        </w:rPr>
        <w:t xml:space="preserve"> 12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876EC2">
        <w:rPr>
          <w:rFonts w:ascii="Times New Roman" w:hAnsi="Times New Roman" w:cs="Times New Roman"/>
          <w:b/>
          <w:sz w:val="26"/>
          <w:szCs w:val="26"/>
        </w:rPr>
        <w:t>128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876EC2">
        <w:rPr>
          <w:rFonts w:ascii="Times New Roman" w:hAnsi="Times New Roman" w:cs="Times New Roman"/>
          <w:b/>
          <w:sz w:val="26"/>
          <w:szCs w:val="26"/>
        </w:rPr>
        <w:t>256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876EC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Серпень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6A">
        <w:rPr>
          <w:rFonts w:ascii="Times New Roman" w:hAnsi="Times New Roman" w:cs="Times New Roman"/>
          <w:b/>
          <w:sz w:val="28"/>
          <w:szCs w:val="28"/>
        </w:rPr>
        <w:t>довідок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Серпень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2421DF" w:rsidRDefault="00A91C4E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A91C4E" w:rsidRPr="008410BE" w:rsidRDefault="00CC3104" w:rsidP="00B82D6A">
      <w:pPr>
        <w:tabs>
          <w:tab w:val="left" w:pos="589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sectPr w:rsidR="00A91C4E" w:rsidRPr="008410BE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400"/>
    <w:multiLevelType w:val="hybridMultilevel"/>
    <w:tmpl w:val="E64EFF48"/>
    <w:lvl w:ilvl="0" w:tplc="22EE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9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6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C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48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4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23A8D"/>
    <w:multiLevelType w:val="hybridMultilevel"/>
    <w:tmpl w:val="EB3AA8D4"/>
    <w:lvl w:ilvl="0" w:tplc="6484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E6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0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E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8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A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4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13835"/>
    <w:rsid w:val="00061631"/>
    <w:rsid w:val="00091210"/>
    <w:rsid w:val="000C5B43"/>
    <w:rsid w:val="00153D71"/>
    <w:rsid w:val="00154C13"/>
    <w:rsid w:val="00177500"/>
    <w:rsid w:val="00182013"/>
    <w:rsid w:val="001823A2"/>
    <w:rsid w:val="0018342D"/>
    <w:rsid w:val="001836A0"/>
    <w:rsid w:val="001B01B3"/>
    <w:rsid w:val="001C670E"/>
    <w:rsid w:val="001F6AF5"/>
    <w:rsid w:val="0020380B"/>
    <w:rsid w:val="00212740"/>
    <w:rsid w:val="002421DF"/>
    <w:rsid w:val="00252136"/>
    <w:rsid w:val="00263EA7"/>
    <w:rsid w:val="0026670C"/>
    <w:rsid w:val="002B6316"/>
    <w:rsid w:val="002C4F56"/>
    <w:rsid w:val="00313C0A"/>
    <w:rsid w:val="00315A3B"/>
    <w:rsid w:val="00327225"/>
    <w:rsid w:val="003A5B22"/>
    <w:rsid w:val="003C2F14"/>
    <w:rsid w:val="003E3912"/>
    <w:rsid w:val="003F734E"/>
    <w:rsid w:val="003F769E"/>
    <w:rsid w:val="00404141"/>
    <w:rsid w:val="00427D02"/>
    <w:rsid w:val="004967AE"/>
    <w:rsid w:val="004B018C"/>
    <w:rsid w:val="004C11E1"/>
    <w:rsid w:val="004C6C5B"/>
    <w:rsid w:val="00521264"/>
    <w:rsid w:val="00556FB0"/>
    <w:rsid w:val="005A604E"/>
    <w:rsid w:val="005B2985"/>
    <w:rsid w:val="0061720B"/>
    <w:rsid w:val="00662F40"/>
    <w:rsid w:val="00663A34"/>
    <w:rsid w:val="00667EC2"/>
    <w:rsid w:val="00685A74"/>
    <w:rsid w:val="006907CF"/>
    <w:rsid w:val="006D14F3"/>
    <w:rsid w:val="006E03A9"/>
    <w:rsid w:val="00725192"/>
    <w:rsid w:val="0072795E"/>
    <w:rsid w:val="00734183"/>
    <w:rsid w:val="00753282"/>
    <w:rsid w:val="007B3131"/>
    <w:rsid w:val="007C48F5"/>
    <w:rsid w:val="007E17CC"/>
    <w:rsid w:val="007F6B9D"/>
    <w:rsid w:val="00812DB5"/>
    <w:rsid w:val="00814215"/>
    <w:rsid w:val="00830290"/>
    <w:rsid w:val="00831B2C"/>
    <w:rsid w:val="008410BE"/>
    <w:rsid w:val="00876EC2"/>
    <w:rsid w:val="00877F6F"/>
    <w:rsid w:val="00891873"/>
    <w:rsid w:val="008E24A5"/>
    <w:rsid w:val="00926421"/>
    <w:rsid w:val="009306EF"/>
    <w:rsid w:val="009308A2"/>
    <w:rsid w:val="00941D98"/>
    <w:rsid w:val="0096285D"/>
    <w:rsid w:val="00973225"/>
    <w:rsid w:val="009A5340"/>
    <w:rsid w:val="009C5976"/>
    <w:rsid w:val="009F2968"/>
    <w:rsid w:val="00A059B7"/>
    <w:rsid w:val="00A53CAD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0B3A"/>
    <w:rsid w:val="00B82D6A"/>
    <w:rsid w:val="00B83D8D"/>
    <w:rsid w:val="00BB7D14"/>
    <w:rsid w:val="00BC583E"/>
    <w:rsid w:val="00BD13C0"/>
    <w:rsid w:val="00BD2B2D"/>
    <w:rsid w:val="00BE3A53"/>
    <w:rsid w:val="00BF414A"/>
    <w:rsid w:val="00BF6A9D"/>
    <w:rsid w:val="00C12E84"/>
    <w:rsid w:val="00C1460A"/>
    <w:rsid w:val="00C44BC6"/>
    <w:rsid w:val="00C93A8E"/>
    <w:rsid w:val="00C96874"/>
    <w:rsid w:val="00CA0C4D"/>
    <w:rsid w:val="00CA3195"/>
    <w:rsid w:val="00CC3104"/>
    <w:rsid w:val="00CC50D6"/>
    <w:rsid w:val="00CD156C"/>
    <w:rsid w:val="00CD551C"/>
    <w:rsid w:val="00CE2CEF"/>
    <w:rsid w:val="00CE4729"/>
    <w:rsid w:val="00D01F57"/>
    <w:rsid w:val="00D1302E"/>
    <w:rsid w:val="00D47954"/>
    <w:rsid w:val="00D57B01"/>
    <w:rsid w:val="00D84B4D"/>
    <w:rsid w:val="00DD7C6F"/>
    <w:rsid w:val="00E64AFE"/>
    <w:rsid w:val="00EE41B1"/>
    <w:rsid w:val="00F05B09"/>
    <w:rsid w:val="00F15348"/>
    <w:rsid w:val="00F17CEC"/>
    <w:rsid w:val="00F40EBD"/>
    <w:rsid w:val="00F479BA"/>
    <w:rsid w:val="00F731D0"/>
    <w:rsid w:val="00FB0A6A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54CC-BAE2-4750-9410-6953E65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8FBE-46A3-B2EF-78E3BD923942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8FBE-46A3-B2EF-78E3BD923942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8FBE-46A3-B2EF-78E3BD923942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8FBE-46A3-B2EF-78E3BD923942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8FBE-46A3-B2EF-78E3BD923942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8FBE-46A3-B2EF-78E3BD923942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8FBE-46A3-B2EF-78E3BD923942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8FBE-46A3-B2EF-78E3BD923942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8FBE-46A3-B2EF-78E3BD923942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8FBE-46A3-B2EF-78E3BD923942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834094.54</c:v>
                </c:pt>
                <c:pt idx="1">
                  <c:v>205000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BE-46A3-B2EF-78E3BD92394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4.069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BE-46A3-B2EF-78E3BD9239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9459328"/>
        <c:axId val="109496960"/>
        <c:axId val="0"/>
      </c:bar3DChart>
      <c:catAx>
        <c:axId val="10945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496960"/>
        <c:crosses val="autoZero"/>
        <c:auto val="1"/>
        <c:lblAlgn val="ctr"/>
        <c:lblOffset val="100"/>
        <c:noMultiLvlLbl val="0"/>
      </c:catAx>
      <c:valAx>
        <c:axId val="10949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45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E64C-4EC0-A003-F0A777AC3A61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E64C-4EC0-A003-F0A777AC3A61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E64C-4EC0-A003-F0A777AC3A61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E64C-4EC0-A003-F0A777AC3A61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E64C-4EC0-A003-F0A777AC3A61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E64C-4EC0-A003-F0A777AC3A61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E64C-4EC0-A003-F0A777AC3A61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E64C-4EC0-A003-F0A777AC3A61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3049103.67</c:v>
                </c:pt>
                <c:pt idx="1">
                  <c:v>2189353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4C-4EC0-A003-F0A777AC3A61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1.393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64C-4EC0-A003-F0A777AC3A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795968"/>
        <c:axId val="127797504"/>
        <c:axId val="0"/>
      </c:bar3DChart>
      <c:catAx>
        <c:axId val="12779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797504"/>
        <c:crosses val="autoZero"/>
        <c:auto val="1"/>
        <c:lblAlgn val="ctr"/>
        <c:lblOffset val="100"/>
        <c:noMultiLvlLbl val="0"/>
      </c:catAx>
      <c:valAx>
        <c:axId val="12779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79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39B9-48A4-91DC-1753257BF048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39B9-48A4-91DC-1753257BF048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39B9-48A4-91DC-1753257BF048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39B9-48A4-91DC-1753257BF048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39B9-48A4-91DC-1753257BF048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39B9-48A4-91DC-1753257BF048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39B9-48A4-91DC-1753257BF048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39B9-48A4-91DC-1753257BF048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3883198.21</c:v>
                </c:pt>
                <c:pt idx="1">
                  <c:v>2394353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B9-48A4-91DC-1753257BF04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1.6220000000000001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9B9-48A4-91DC-1753257BF0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259200"/>
        <c:axId val="130265088"/>
        <c:axId val="0"/>
      </c:bar3DChart>
      <c:catAx>
        <c:axId val="1302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0265088"/>
        <c:crosses val="autoZero"/>
        <c:auto val="1"/>
        <c:lblAlgn val="ctr"/>
        <c:lblOffset val="100"/>
        <c:noMultiLvlLbl val="0"/>
      </c:catAx>
      <c:valAx>
        <c:axId val="13026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025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0-68FF-4219-9447-496987F54E12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1-68FF-4219-9447-496987F54E12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FF-4219-9447-496987F54E1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  <c:pt idx="6">
                  <c:v>9861690.9000000004</c:v>
                </c:pt>
                <c:pt idx="7">
                  <c:v>12125445.5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FF-4219-9447-496987F54E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0466816"/>
        <c:axId val="120476800"/>
      </c:lineChart>
      <c:catAx>
        <c:axId val="12046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476800"/>
        <c:crosses val="autoZero"/>
        <c:auto val="1"/>
        <c:lblAlgn val="ctr"/>
        <c:lblOffset val="100"/>
        <c:noMultiLvlLbl val="0"/>
      </c:catAx>
      <c:valAx>
        <c:axId val="12047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46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1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11 200,99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1,2821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9A-468F-9024-C409CBCE29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1,5828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11201.08</c:v>
                </c:pt>
                <c:pt idx="1">
                  <c:v>1.4793999999999989</c:v>
                </c:pt>
                <c:pt idx="2">
                  <c:v>8.4800000000000028E-2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114 627 146,01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213 678,6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9A-468F-9024-C409CBCE29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mtClean="0"/>
                      <a:t>290</a:t>
                    </a:r>
                    <a:r>
                      <a:rPr lang="uk-UA" baseline="0" smtClean="0"/>
                      <a:t> 539,37</a:t>
                    </a:r>
                    <a:endParaRPr lang="uk-UA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114792831.98999999</c:v>
                </c:pt>
                <c:pt idx="1">
                  <c:v>236564.03</c:v>
                </c:pt>
                <c:pt idx="2">
                  <c:v>165685.97999999998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0494720"/>
        <c:axId val="133214592"/>
        <c:axId val="82542592"/>
      </c:bar3DChart>
      <c:catAx>
        <c:axId val="12049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214592"/>
        <c:crosses val="autoZero"/>
        <c:auto val="1"/>
        <c:lblAlgn val="ctr"/>
        <c:lblOffset val="100"/>
        <c:noMultiLvlLbl val="0"/>
      </c:catAx>
      <c:valAx>
        <c:axId val="1332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494720"/>
        <c:crosses val="autoZero"/>
        <c:crossBetween val="between"/>
      </c:valAx>
      <c:serAx>
        <c:axId val="825425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2145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серпень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серпнем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6069E-2"/>
          <c:y val="0.389960317460324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серпень 2020</c:v>
                </c:pt>
                <c:pt idx="1">
                  <c:v>серпень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серпень 2020</c:v>
                </c:pt>
                <c:pt idx="1">
                  <c:v>серпень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</c:v>
                </c:pt>
                <c:pt idx="1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8-4CED-A48B-8044A3965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33218688"/>
        <c:axId val="133221760"/>
        <c:axId val="0"/>
      </c:bar3DChart>
      <c:catAx>
        <c:axId val="1332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221760"/>
        <c:crosses val="autoZero"/>
        <c:auto val="1"/>
        <c:lblAlgn val="ctr"/>
        <c:lblOffset val="100"/>
        <c:noMultiLvlLbl val="0"/>
      </c:catAx>
      <c:valAx>
        <c:axId val="13322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3218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9808"/>
          <c:y val="0.8933527059117351"/>
          <c:w val="0.3311020320573138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серпень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серпнем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5902E-2"/>
          <c:y val="0.30662698412699102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серпень 2020</c:v>
                </c:pt>
                <c:pt idx="1">
                  <c:v>серпень2021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серпень 2020</c:v>
                </c:pt>
                <c:pt idx="1">
                  <c:v>серпень2021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серпень 2020</c:v>
                </c:pt>
                <c:pt idx="1">
                  <c:v>серпень2021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2400"/>
        <c:axId val="126023936"/>
      </c:barChart>
      <c:catAx>
        <c:axId val="12602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6023936"/>
        <c:crosses val="autoZero"/>
        <c:auto val="1"/>
        <c:lblAlgn val="ctr"/>
        <c:lblOffset val="100"/>
        <c:noMultiLvlLbl val="0"/>
      </c:catAx>
      <c:valAx>
        <c:axId val="1260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6022400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973"/>
          <c:y val="0.89335270591173621"/>
          <c:w val="0.48740649606299941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44044</c:v>
                </c:pt>
                <c:pt idx="1">
                  <c:v>44409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7-4354-B034-B3CDDD585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2021-08-13T11:55:00Z</cp:lastPrinted>
  <dcterms:created xsi:type="dcterms:W3CDTF">2021-09-09T10:16:00Z</dcterms:created>
  <dcterms:modified xsi:type="dcterms:W3CDTF">2021-09-09T10:16:00Z</dcterms:modified>
</cp:coreProperties>
</file>