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A7" w:rsidRPr="008129C6" w:rsidRDefault="00927DA7" w:rsidP="00AD3C72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C6">
        <w:rPr>
          <w:rFonts w:ascii="Times New Roman" w:hAnsi="Times New Roman" w:cs="Times New Roman"/>
          <w:b/>
          <w:sz w:val="24"/>
          <w:szCs w:val="24"/>
        </w:rPr>
        <w:t>АНАЛІЗ РЕГУЛЯТОРНОГО ВПЛИВУ</w:t>
      </w:r>
    </w:p>
    <w:p w:rsidR="00927DA7" w:rsidRPr="008129C6" w:rsidRDefault="00927DA7" w:rsidP="00AD3C72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C6">
        <w:rPr>
          <w:rFonts w:ascii="Times New Roman" w:hAnsi="Times New Roman" w:cs="Times New Roman"/>
          <w:b/>
          <w:sz w:val="24"/>
          <w:szCs w:val="24"/>
        </w:rPr>
        <w:t>проекту рішення виконавчого комітету міської ради «Про затвердження Порядку організації,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топографічної основи в М 1:500 на території Калуської міської територіальної громади»</w:t>
      </w:r>
    </w:p>
    <w:p w:rsidR="00E66FCA" w:rsidRPr="00E66FCA" w:rsidRDefault="00927DA7" w:rsidP="00DD318F">
      <w:pPr>
        <w:pStyle w:val="a5"/>
        <w:ind w:right="284"/>
        <w:jc w:val="both"/>
        <w:rPr>
          <w:rFonts w:eastAsia="Times New Roman"/>
          <w:color w:val="000000"/>
          <w:lang w:eastAsia="uk-UA"/>
        </w:rPr>
      </w:pPr>
      <w:r w:rsidRPr="008129C6">
        <w:t>1</w:t>
      </w:r>
      <w:r w:rsidR="00AF7D8C" w:rsidRPr="008129C6">
        <w:rPr>
          <w:b/>
        </w:rPr>
        <w:t>.</w:t>
      </w:r>
      <w:r w:rsidR="00E66FCA" w:rsidRPr="008129C6">
        <w:rPr>
          <w:rFonts w:eastAsia="Times New Roman"/>
          <w:color w:val="000000"/>
          <w:lang w:eastAsia="uk-UA"/>
        </w:rPr>
        <w:t xml:space="preserve"> Згідно з ст. 22 Закону України «Про регулювання містобудівної діяльності»</w:t>
      </w:r>
      <w:r w:rsidR="00E66FCA" w:rsidRPr="008129C6">
        <w:rPr>
          <w:rFonts w:ascii="Courier New" w:eastAsia="Times New Roman" w:hAnsi="Courier New" w:cs="Courier New"/>
          <w:color w:val="000000"/>
          <w:lang w:eastAsia="uk-UA"/>
        </w:rPr>
        <w:t> </w:t>
      </w:r>
      <w:r w:rsidR="00E66FCA" w:rsidRPr="008129C6">
        <w:rPr>
          <w:rFonts w:eastAsia="Times New Roman"/>
          <w:color w:val="000000"/>
          <w:lang w:eastAsia="uk-UA"/>
        </w:rPr>
        <w:t>передбачено, що</w:t>
      </w:r>
      <w:bookmarkStart w:id="0" w:name="o251"/>
      <w:bookmarkEnd w:id="0"/>
      <w:r w:rsidR="00E66FCA" w:rsidRPr="008129C6">
        <w:rPr>
          <w:rFonts w:eastAsia="Times New Roman"/>
          <w:color w:val="000000"/>
          <w:lang w:eastAsia="uk-UA"/>
        </w:rPr>
        <w:t xml:space="preserve"> містобудівний кадастр - це державна система зберігання і використання </w:t>
      </w:r>
      <w:proofErr w:type="spellStart"/>
      <w:r w:rsidR="00E66FCA" w:rsidRPr="008129C6">
        <w:rPr>
          <w:rFonts w:eastAsia="Times New Roman"/>
          <w:color w:val="000000"/>
          <w:lang w:eastAsia="uk-UA"/>
        </w:rPr>
        <w:t>геопросторових</w:t>
      </w:r>
      <w:proofErr w:type="spellEnd"/>
      <w:r w:rsidR="00E66FCA" w:rsidRPr="008129C6">
        <w:rPr>
          <w:rFonts w:eastAsia="Times New Roman"/>
          <w:color w:val="000000"/>
          <w:lang w:eastAsia="uk-UA"/>
        </w:rPr>
        <w:t xml:space="preserve"> даних про територію, адміністративно-територіальні одиниці, екологічні, інженерно-геологічні умови, інформаційних ресурсів будівельних норм, державних стандартів і правил для задоволення інформаційних потреб у плануванні територій та будівництві, формування галузевої складової державних </w:t>
      </w:r>
      <w:proofErr w:type="spellStart"/>
      <w:r w:rsidR="00E66FCA" w:rsidRPr="008129C6">
        <w:rPr>
          <w:rFonts w:eastAsia="Times New Roman"/>
          <w:color w:val="000000"/>
          <w:lang w:eastAsia="uk-UA"/>
        </w:rPr>
        <w:t>геоінформаційних</w:t>
      </w:r>
      <w:proofErr w:type="spellEnd"/>
      <w:r w:rsidR="00E66FCA" w:rsidRPr="008129C6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66FCA" w:rsidRPr="008129C6">
        <w:rPr>
          <w:rFonts w:eastAsia="Times New Roman"/>
          <w:color w:val="000000"/>
          <w:lang w:eastAsia="uk-UA"/>
        </w:rPr>
        <w:t>ресурсів.</w:t>
      </w:r>
      <w:bookmarkStart w:id="1" w:name="o252"/>
      <w:bookmarkStart w:id="2" w:name="o253"/>
      <w:bookmarkEnd w:id="1"/>
      <w:bookmarkEnd w:id="2"/>
      <w:r w:rsidR="00E66FCA" w:rsidRPr="00E66FCA">
        <w:rPr>
          <w:rFonts w:eastAsia="Times New Roman"/>
          <w:color w:val="000000"/>
          <w:lang w:eastAsia="uk-UA"/>
        </w:rPr>
        <w:t>Містобудівний</w:t>
      </w:r>
      <w:proofErr w:type="spellEnd"/>
      <w:r w:rsidR="00E66FCA" w:rsidRPr="00E66FCA">
        <w:rPr>
          <w:rFonts w:eastAsia="Times New Roman"/>
          <w:color w:val="000000"/>
          <w:lang w:eastAsia="uk-UA"/>
        </w:rPr>
        <w:t xml:space="preserve"> кадастр ведеться уповноваженими органами містобудування та архітектури.</w:t>
      </w:r>
      <w:bookmarkStart w:id="3" w:name="o255"/>
      <w:bookmarkEnd w:id="3"/>
    </w:p>
    <w:p w:rsidR="00E66FCA" w:rsidRPr="00E66FCA" w:rsidRDefault="00E66FCA" w:rsidP="00AD3C72">
      <w:pPr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bookmarkStart w:id="4" w:name="o259"/>
      <w:bookmarkStart w:id="5" w:name="o260"/>
      <w:bookmarkEnd w:id="4"/>
      <w:bookmarkEnd w:id="5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Дані містобудівного кадастру, необхідні для провадження містобудівної діяльності, проведення землевпорядних робіт, забезпечення роботи </w:t>
      </w:r>
      <w:proofErr w:type="spellStart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геоінформаційних</w:t>
      </w:r>
      <w:proofErr w:type="spellEnd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систем, використовуються для задоволення інформаційних потреб державних органів, органів місцевого самоврядування, фізичних і юридичних осіб.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Пунктом 23 «Положення про містобудівний кадастр», затвердженого постановою Кабінету Міністрів України від 25 травня 2011 року № 559, визначено, що правову основу формування та ведення містобудівного кадастру становлять:</w:t>
      </w:r>
    </w:p>
    <w:p w:rsidR="00E66FCA" w:rsidRPr="00E66FCA" w:rsidRDefault="008129C6" w:rsidP="00AD3C72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142" w:righ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o108"/>
      <w:bookmarkEnd w:id="6"/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="00E66FCA"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 України «Про регулювання  містобудівної діяльності»;</w:t>
      </w:r>
    </w:p>
    <w:p w:rsidR="00E66FCA" w:rsidRPr="00E66FCA" w:rsidRDefault="00E66FCA" w:rsidP="00AD3C72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o109"/>
      <w:bookmarkEnd w:id="7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«Положення про містобудівний кадастр», а також Порядок обміну інформацією між містобудівним та державним земельним кадастрами, Положення про порядок надходження, зберігання, використання та обліку матеріалів Державного </w:t>
      </w:r>
      <w:proofErr w:type="spellStart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картографо</w:t>
      </w:r>
      <w:proofErr w:type="spellEnd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-геодезичного фонду України;</w:t>
      </w:r>
      <w:bookmarkStart w:id="8" w:name="o110"/>
      <w:bookmarkEnd w:id="8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6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затверджені органами виконавчої влади, органами місцевого самоврядування положення</w:t>
      </w:r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про Службу містобудівного кадастру відповідного рівня (у разі утворення), про реєстри адрес, вулиць та інших поіменованих об'єктів місцевості, </w:t>
      </w:r>
      <w:r w:rsidRPr="00E6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інформаційні ресурси єдиної цифрової топографічної основи території</w:t>
      </w:r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E66FCA" w:rsidRPr="00E66FCA" w:rsidRDefault="00E66FCA" w:rsidP="00AD3C72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o111"/>
      <w:bookmarkEnd w:id="9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нормативно-правові акти органів виконавчої влади, органів місцевого самоврядування щодо визначення умов прямого доступу та встановлення категорії користувачів, що мають право на прямий доступ до інформації містобудівного кадастру.</w:t>
      </w:r>
    </w:p>
    <w:p w:rsidR="00E66FCA" w:rsidRPr="008129C6" w:rsidRDefault="00E66FCA" w:rsidP="00AD3C72">
      <w:pPr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У зв’язку з вищевикладеним </w:t>
      </w:r>
      <w:bookmarkStart w:id="10" w:name="n34"/>
      <w:bookmarkEnd w:id="10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виникла нагальна потреба у прийнятті нормативно – правового </w:t>
      </w:r>
      <w:proofErr w:type="spellStart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яким були б врегульовані питання створення і формування єдиної цифрової топографічної основи території 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Калуської міської територіальної громади </w:t>
      </w:r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введення на її підставі в систему містобудівного кадастру відомостей про топографічні карти і плани та планово-картографічну основу державного земельного кадастру на територію 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Калуської міської територіальної громади</w:t>
      </w:r>
      <w:r w:rsidRPr="00E66F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результати інженерно-геодезичних виконавчих знімань завершеного будівництвом об'єктів інфраструктури та результатів містобудівного моніторингу у відповідності з існуючими вимогами чинного законодавства України в комплексі з урахуванням приватних, громадських та державних інтере</w:t>
      </w:r>
      <w:r w:rsidR="008C03C1"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сів.</w:t>
      </w:r>
    </w:p>
    <w:p w:rsidR="008129C6" w:rsidRDefault="008129C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8129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ІІ Цілі державного регулювання</w:t>
      </w:r>
    </w:p>
    <w:p w:rsidR="00DD318F" w:rsidRDefault="008129C6" w:rsidP="00DD318F">
      <w:pPr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Основними завданнями запропонованого проекту рішення виконавчого комітету Калуської міської ради «</w:t>
      </w:r>
      <w:r w:rsidRPr="008129C6">
        <w:rPr>
          <w:rFonts w:ascii="Times New Roman" w:hAnsi="Times New Roman" w:cs="Times New Roman"/>
          <w:sz w:val="24"/>
          <w:szCs w:val="24"/>
        </w:rPr>
        <w:t xml:space="preserve">Про затвердження Порядку організації,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топографічної </w:t>
      </w:r>
      <w:r w:rsidRPr="008129C6">
        <w:rPr>
          <w:rFonts w:ascii="Times New Roman" w:hAnsi="Times New Roman" w:cs="Times New Roman"/>
          <w:sz w:val="24"/>
          <w:szCs w:val="24"/>
        </w:rPr>
        <w:lastRenderedPageBreak/>
        <w:t>основи в М 1:500 на території Калуської міської територіальної громади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є: створення нормативно – правового акту,який відповідає вимога</w:t>
      </w:r>
      <w:r w:rsidR="00DD31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 чинного законодавства </w:t>
      </w:r>
      <w:proofErr w:type="spellStart"/>
      <w:r w:rsidR="00DD31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змісту, 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структури, механізму  створення, ведення, </w:t>
      </w:r>
      <w:r w:rsidR="008D5AEC" w:rsidRPr="008129C6">
        <w:rPr>
          <w:rFonts w:ascii="Times New Roman" w:hAnsi="Times New Roman" w:cs="Times New Roman"/>
          <w:sz w:val="24"/>
          <w:szCs w:val="24"/>
        </w:rPr>
        <w:t>топографо-геодезичних зйомок</w:t>
      </w:r>
      <w:r w:rsidR="008D5AEC"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D5AEC" w:rsidRPr="008129C6">
        <w:rPr>
          <w:rFonts w:ascii="Times New Roman" w:hAnsi="Times New Roman" w:cs="Times New Roman"/>
          <w:sz w:val="24"/>
          <w:szCs w:val="24"/>
        </w:rPr>
        <w:t>створення єдиної топографічної основи в М 1:500</w:t>
      </w:r>
      <w:r w:rsidR="008D5AEC">
        <w:rPr>
          <w:rFonts w:ascii="Times New Roman" w:hAnsi="Times New Roman" w:cs="Times New Roman"/>
          <w:sz w:val="24"/>
          <w:szCs w:val="24"/>
        </w:rPr>
        <w:t>,</w:t>
      </w:r>
      <w:r w:rsidR="008D5AEC" w:rsidRPr="008129C6">
        <w:rPr>
          <w:rFonts w:ascii="Times New Roman" w:hAnsi="Times New Roman" w:cs="Times New Roman"/>
          <w:sz w:val="24"/>
          <w:szCs w:val="24"/>
        </w:rPr>
        <w:t xml:space="preserve"> 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надання та використання як складової частини системи містобудівного кадастру, контролю за їх використанням функції та права служби містобудівного кадастру у складі управління </w:t>
      </w:r>
      <w:r w:rsidR="008D5AEC"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архітектури </w:t>
      </w:r>
      <w:r w:rsidR="008D5A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="00DD31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містобудування міської ради, </w:t>
      </w:r>
      <w:r w:rsidR="008D5A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створення процедури, 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 відповідно  до законодавства регламентує  зміст та послідовність дій  органу місцевого самоврядування, відповідних органів виконавчої влади, фізичних та юридичних осіб щодо ведення, надання та використання</w:t>
      </w:r>
      <w:r w:rsidR="008D5AEC" w:rsidRPr="008D5AEC">
        <w:rPr>
          <w:rFonts w:ascii="Times New Roman" w:hAnsi="Times New Roman" w:cs="Times New Roman"/>
          <w:sz w:val="24"/>
          <w:szCs w:val="24"/>
        </w:rPr>
        <w:t xml:space="preserve"> </w:t>
      </w:r>
      <w:r w:rsidR="008D5AEC" w:rsidRPr="008129C6">
        <w:rPr>
          <w:rFonts w:ascii="Times New Roman" w:hAnsi="Times New Roman" w:cs="Times New Roman"/>
          <w:sz w:val="24"/>
          <w:szCs w:val="24"/>
        </w:rPr>
        <w:t>єдиної топографічної основи в М 1:500</w:t>
      </w:r>
      <w:r w:rsidRPr="008129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8D5AEC" w:rsidRPr="00DD318F" w:rsidRDefault="008D5AEC" w:rsidP="00DD318F">
      <w:pPr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A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ІІІ. Визначення та оцінка альтернативних способів досягнення цілей</w:t>
      </w:r>
    </w:p>
    <w:p w:rsidR="008D5AEC" w:rsidRDefault="008D5AEC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A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Визначена проблема не може бути розв’язана за допомогою діючих нормативних актів, оскільки залишає прогалини в правовому регулюванні цього питання.</w:t>
      </w:r>
    </w:p>
    <w:p w:rsidR="008D5AEC" w:rsidRPr="008D5AEC" w:rsidRDefault="008D5AEC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A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Завдання щодо затвердження положення про інформаційні ресурси єдиної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топографічної основи</w:t>
      </w:r>
      <w:r w:rsidRPr="008D5A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 правової основи формування та ведення містобудівного кадастру відповідно до положень чинних нормативно-правовими актів прямо покладається на органи виконавчої влади, органи місцевого самоврядування.</w:t>
      </w:r>
    </w:p>
    <w:p w:rsidR="008D5AEC" w:rsidRPr="008D5AEC" w:rsidRDefault="008D5AEC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D5A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1. Визначення альтернативних способів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8"/>
        <w:gridCol w:w="6175"/>
      </w:tblGrid>
      <w:tr w:rsidR="008D5AEC" w:rsidTr="008D5AEC">
        <w:tc>
          <w:tcPr>
            <w:tcW w:w="3823" w:type="dxa"/>
          </w:tcPr>
          <w:p w:rsidR="008D5AEC" w:rsidRPr="00E812C6" w:rsidRDefault="008D5AEC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6374" w:type="dxa"/>
          </w:tcPr>
          <w:p w:rsidR="008D5AEC" w:rsidRPr="00E812C6" w:rsidRDefault="008D5AEC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Опис альтернативи</w:t>
            </w:r>
          </w:p>
        </w:tc>
      </w:tr>
      <w:tr w:rsidR="008D5AEC" w:rsidTr="008D5AEC">
        <w:tc>
          <w:tcPr>
            <w:tcW w:w="3823" w:type="dxa"/>
          </w:tcPr>
          <w:p w:rsidR="008D5AEC" w:rsidRPr="00E812C6" w:rsidRDefault="008D5AEC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регулювання</w:t>
            </w:r>
          </w:p>
        </w:tc>
        <w:tc>
          <w:tcPr>
            <w:tcW w:w="6374" w:type="dxa"/>
          </w:tcPr>
          <w:p w:rsidR="008D5AEC" w:rsidRPr="00474B25" w:rsidRDefault="00474B25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Відсутня загальна інформація про 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новостворені топографо-геодезичні зйомки, пов’язані з використанням топографічної основи на території Калуської міської територіальної громади для вирішення містобудівних, інформаційно-довідкових, кадастрових, організаційно-управлінських завдань тощо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8D5AEC" w:rsidRPr="00E812C6" w:rsidTr="008D5AEC">
        <w:tc>
          <w:tcPr>
            <w:tcW w:w="3823" w:type="dxa"/>
          </w:tcPr>
          <w:p w:rsidR="008D5AEC" w:rsidRPr="00E812C6" w:rsidRDefault="00E812C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даного регуляторного акту органом місцевого самоврядування</w:t>
            </w:r>
          </w:p>
        </w:tc>
        <w:tc>
          <w:tcPr>
            <w:tcW w:w="6374" w:type="dxa"/>
          </w:tcPr>
          <w:p w:rsidR="008D5AEC" w:rsidRPr="00E812C6" w:rsidRDefault="00474B25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Створюється загальний 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порядок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які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повинні функціонувати на базі єдиної цифрової топографічної основи на території населених пунктів Калуської міської територіальної громади</w:t>
            </w:r>
          </w:p>
        </w:tc>
      </w:tr>
    </w:tbl>
    <w:p w:rsidR="00420680" w:rsidRPr="00420680" w:rsidRDefault="00420680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0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Оцінка вибраних альтернативних  способів досягнення цілей</w:t>
      </w:r>
    </w:p>
    <w:p w:rsidR="00420680" w:rsidRPr="00420680" w:rsidRDefault="00420680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0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</w:t>
      </w:r>
      <w:bookmarkStart w:id="11" w:name="n117"/>
      <w:bookmarkStart w:id="12" w:name="n118"/>
      <w:bookmarkEnd w:id="11"/>
      <w:bookmarkEnd w:id="12"/>
      <w:r w:rsidRPr="00420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впливу на сферу інтересів держави, органів місцевого самоврядування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5060"/>
        <w:gridCol w:w="3986"/>
      </w:tblGrid>
      <w:tr w:rsidR="00420680" w:rsidTr="006E7DB7">
        <w:tc>
          <w:tcPr>
            <w:tcW w:w="1271" w:type="dxa"/>
          </w:tcPr>
          <w:p w:rsid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676" w:type="dxa"/>
          </w:tcPr>
          <w:p w:rsid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Вигоди </w:t>
            </w:r>
          </w:p>
        </w:tc>
        <w:tc>
          <w:tcPr>
            <w:tcW w:w="4825" w:type="dxa"/>
          </w:tcPr>
          <w:p w:rsid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</w:tr>
      <w:tr w:rsidR="00420680" w:rsidTr="006E7DB7">
        <w:tc>
          <w:tcPr>
            <w:tcW w:w="1271" w:type="dxa"/>
          </w:tcPr>
          <w:p w:rsid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регулювання</w:t>
            </w:r>
          </w:p>
        </w:tc>
        <w:tc>
          <w:tcPr>
            <w:tcW w:w="3676" w:type="dxa"/>
          </w:tcPr>
          <w:p w:rsidR="00420680" w:rsidRP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Зменшення  навантаження на працівників </w:t>
            </w:r>
            <w:r w:rsidR="006E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служби містобудівного кадастру</w:t>
            </w:r>
            <w:r w:rsidRPr="0042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(відсутня необхідність введення  результатів інженерно-геодезичних виконавчих знімань). </w:t>
            </w:r>
            <w:r w:rsidRPr="0042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Спрощення  технологічних процесів ведення містобудівного кадастру</w:t>
            </w:r>
          </w:p>
          <w:p w:rsid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25" w:type="dxa"/>
          </w:tcPr>
          <w:p w:rsidR="00444673" w:rsidRDefault="00420680" w:rsidP="00AD3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Необхідність  періодично закуповувати послуги  з актуалізації топографічного  плану </w:t>
            </w:r>
            <w:r w:rsidR="00DC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 територіальної громади</w:t>
            </w:r>
            <w:r w:rsid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420680" w:rsidRPr="00420680" w:rsidRDefault="00420680" w:rsidP="00AD3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Неможливість  виконання функцій, покладених на  службу містобудівно</w:t>
            </w:r>
            <w:r w:rsidRPr="0042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го кадастру (задоволення у повному обсязі інформаційних потреб у плануванні територій та будівництві)</w:t>
            </w:r>
          </w:p>
          <w:p w:rsid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20680" w:rsidTr="006E7DB7">
        <w:tc>
          <w:tcPr>
            <w:tcW w:w="1271" w:type="dxa"/>
          </w:tcPr>
          <w:p w:rsidR="00420680" w:rsidRDefault="00420680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Прийняття даного регуляторного акту органом місцевого самоврядування</w:t>
            </w:r>
          </w:p>
        </w:tc>
        <w:tc>
          <w:tcPr>
            <w:tcW w:w="3676" w:type="dxa"/>
          </w:tcPr>
          <w:p w:rsidR="00420680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Можливість виконання функцій, покладених на службу містобудівного кадастру</w:t>
            </w:r>
          </w:p>
        </w:tc>
        <w:tc>
          <w:tcPr>
            <w:tcW w:w="4825" w:type="dxa"/>
          </w:tcPr>
          <w:p w:rsidR="00420680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Витрати, пов’язані з веденням містобудівного кадастру</w:t>
            </w:r>
          </w:p>
        </w:tc>
      </w:tr>
    </w:tbl>
    <w:p w:rsidR="008D5AEC" w:rsidRDefault="00444673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67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впливу на сферу інтересів громадян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44673" w:rsidRPr="00444673" w:rsidTr="00DD318F"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Альтернативи</w:t>
            </w:r>
          </w:p>
        </w:tc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</w:tr>
      <w:tr w:rsidR="00444673" w:rsidRPr="00444673" w:rsidTr="00DD318F"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регулювання</w:t>
            </w:r>
          </w:p>
        </w:tc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</w:t>
            </w: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Недостатня інформація про ведення будівництва на території міської територіальної гр</w:t>
            </w:r>
            <w:r w:rsidR="006E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омади. Засипка інженерних мереж</w:t>
            </w: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які прокладаються без контрольно-виконавчих зйомок може призвести до аварійних ситуацій при розкопках.</w:t>
            </w:r>
          </w:p>
        </w:tc>
      </w:tr>
      <w:tr w:rsidR="00444673" w:rsidRPr="00444673" w:rsidTr="00DD318F"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даного регуляторного акту органом місцевого самоврядування</w:t>
            </w:r>
          </w:p>
        </w:tc>
        <w:tc>
          <w:tcPr>
            <w:tcW w:w="3285" w:type="dxa"/>
          </w:tcPr>
          <w:p w:rsidR="00444673" w:rsidRPr="00444673" w:rsidRDefault="00444673" w:rsidP="00AD3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инос в натуру об’єктів тільки сертифікованими спеціалістами-геодезистами; -</w:t>
            </w:r>
            <w:proofErr w:type="spellStart"/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конрольно</w:t>
            </w:r>
            <w:proofErr w:type="spellEnd"/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-виконавче знімання підземних і наземних споруд і мереж; </w:t>
            </w:r>
          </w:p>
          <w:p w:rsidR="00444673" w:rsidRPr="00444673" w:rsidRDefault="00444673" w:rsidP="00AD3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-інженерно-геодезичні вишукування для проектування сертифікованими спеціалістами.</w:t>
            </w:r>
          </w:p>
        </w:tc>
        <w:tc>
          <w:tcPr>
            <w:tcW w:w="3285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Відсутні </w:t>
            </w:r>
          </w:p>
        </w:tc>
      </w:tr>
    </w:tbl>
    <w:p w:rsidR="00444673" w:rsidRDefault="00444673" w:rsidP="00AD3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 </w:t>
      </w:r>
      <w:bookmarkStart w:id="13" w:name="n132"/>
      <w:bookmarkStart w:id="14" w:name="n141"/>
      <w:bookmarkEnd w:id="13"/>
      <w:bookmarkEnd w:id="14"/>
      <w:r w:rsidRPr="00444673">
        <w:rPr>
          <w:rFonts w:ascii="Times New Roman" w:hAnsi="Times New Roman" w:cs="Times New Roman"/>
          <w:color w:val="000000"/>
          <w:sz w:val="24"/>
          <w:szCs w:val="24"/>
        </w:rPr>
        <w:t>Оцінка впливу на сферу інтересів суб’єктів господарювання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595"/>
        <w:gridCol w:w="1610"/>
        <w:gridCol w:w="1570"/>
        <w:gridCol w:w="1588"/>
        <w:gridCol w:w="1584"/>
      </w:tblGrid>
      <w:tr w:rsidR="00444673" w:rsidTr="007942D8">
        <w:tc>
          <w:tcPr>
            <w:tcW w:w="1965" w:type="dxa"/>
          </w:tcPr>
          <w:p w:rsidR="00444673" w:rsidRPr="00444673" w:rsidRDefault="00444673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649" w:type="dxa"/>
          </w:tcPr>
          <w:p w:rsidR="00444673" w:rsidRPr="00444673" w:rsidRDefault="00444673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1656" w:type="dxa"/>
          </w:tcPr>
          <w:p w:rsidR="00444673" w:rsidRPr="00444673" w:rsidRDefault="00444673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1637" w:type="dxa"/>
          </w:tcPr>
          <w:p w:rsidR="00444673" w:rsidRPr="00444673" w:rsidRDefault="00444673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1646" w:type="dxa"/>
          </w:tcPr>
          <w:p w:rsidR="00444673" w:rsidRPr="00444673" w:rsidRDefault="00444673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Мікро</w:t>
            </w:r>
          </w:p>
        </w:tc>
        <w:tc>
          <w:tcPr>
            <w:tcW w:w="1644" w:type="dxa"/>
          </w:tcPr>
          <w:p w:rsidR="00444673" w:rsidRPr="00444673" w:rsidRDefault="00444673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Разом</w:t>
            </w:r>
          </w:p>
        </w:tc>
      </w:tr>
      <w:tr w:rsidR="007942D8" w:rsidRPr="00444673" w:rsidTr="007942D8">
        <w:tc>
          <w:tcPr>
            <w:tcW w:w="1965" w:type="dxa"/>
          </w:tcPr>
          <w:p w:rsidR="007942D8" w:rsidRPr="00444673" w:rsidRDefault="007942D8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кількість суб’єктів </w:t>
            </w:r>
            <w:r w:rsidRPr="004446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господарювання, що підпадають під дію регулювання, одиниць</w:t>
            </w:r>
          </w:p>
        </w:tc>
        <w:tc>
          <w:tcPr>
            <w:tcW w:w="1649" w:type="dxa"/>
          </w:tcPr>
          <w:p w:rsidR="007942D8" w:rsidRPr="00444673" w:rsidRDefault="007942D8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1656" w:type="dxa"/>
          </w:tcPr>
          <w:p w:rsidR="007942D8" w:rsidRPr="00444673" w:rsidRDefault="007942D8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2D8" w:rsidRPr="007942D8" w:rsidRDefault="007942D8" w:rsidP="00AD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2D8" w:rsidRPr="007942D8" w:rsidRDefault="007942D8" w:rsidP="00AD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2D8" w:rsidRPr="007942D8" w:rsidRDefault="007942D8" w:rsidP="00AD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42D8" w:rsidTr="007942D8">
        <w:tc>
          <w:tcPr>
            <w:tcW w:w="1965" w:type="dxa"/>
          </w:tcPr>
          <w:p w:rsidR="007942D8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1649" w:type="dxa"/>
          </w:tcPr>
          <w:p w:rsidR="007942D8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7942D8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942D8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46" w:type="dxa"/>
          </w:tcPr>
          <w:p w:rsidR="007942D8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4" w:type="dxa"/>
          </w:tcPr>
          <w:p w:rsidR="007942D8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44673" w:rsidRDefault="00444673" w:rsidP="00AD3C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3399"/>
        <w:gridCol w:w="3399"/>
        <w:gridCol w:w="3399"/>
      </w:tblGrid>
      <w:tr w:rsidR="00444673" w:rsidTr="00444673">
        <w:tc>
          <w:tcPr>
            <w:tcW w:w="3399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4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Альтернативи</w:t>
            </w:r>
          </w:p>
        </w:tc>
        <w:tc>
          <w:tcPr>
            <w:tcW w:w="3399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3399" w:type="dxa"/>
          </w:tcPr>
          <w:p w:rsidR="00444673" w:rsidRPr="00444673" w:rsidRDefault="00444673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</w:tr>
      <w:tr w:rsidR="007942D8" w:rsidTr="00DD318F">
        <w:tc>
          <w:tcPr>
            <w:tcW w:w="3399" w:type="dxa"/>
          </w:tcPr>
          <w:p w:rsidR="007942D8" w:rsidRPr="00444673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регулювання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2D8" w:rsidRPr="007942D8" w:rsidRDefault="007942D8" w:rsidP="00AD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D8">
              <w:rPr>
                <w:rFonts w:ascii="Times New Roman" w:hAnsi="Times New Roman" w:cs="Times New Roman"/>
                <w:sz w:val="24"/>
                <w:szCs w:val="24"/>
              </w:rPr>
              <w:t>Економія часу на передачу інформації до містобудівного кадастру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2D8" w:rsidRPr="007942D8" w:rsidRDefault="007942D8" w:rsidP="00AD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D8">
              <w:rPr>
                <w:rFonts w:ascii="Times New Roman" w:hAnsi="Times New Roman" w:cs="Times New Roman"/>
                <w:sz w:val="24"/>
                <w:szCs w:val="24"/>
              </w:rPr>
              <w:t>Збільшення обсягу робіт на знімання прилеглої території, що знижує продуктивність праці.</w:t>
            </w:r>
          </w:p>
          <w:p w:rsidR="007942D8" w:rsidRPr="007942D8" w:rsidRDefault="007942D8" w:rsidP="00AD3C72">
            <w:pPr>
              <w:pStyle w:val="a5"/>
              <w:jc w:val="both"/>
            </w:pPr>
            <w:r w:rsidRPr="007942D8">
              <w:t>Витрати часу на узгодження результатів знімань у зв’язку з необхідністю їх уточнення, що знижує продуктивність праці.</w:t>
            </w:r>
          </w:p>
        </w:tc>
      </w:tr>
      <w:tr w:rsidR="007942D8" w:rsidTr="00DD318F">
        <w:tc>
          <w:tcPr>
            <w:tcW w:w="3399" w:type="dxa"/>
          </w:tcPr>
          <w:p w:rsidR="007942D8" w:rsidRPr="00444673" w:rsidRDefault="007942D8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 даного регуляторного акту органом місцевого самоврядування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2D8" w:rsidRPr="007942D8" w:rsidRDefault="007942D8" w:rsidP="00AD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D8">
              <w:rPr>
                <w:rFonts w:ascii="Times New Roman" w:hAnsi="Times New Roman" w:cs="Times New Roman"/>
                <w:sz w:val="24"/>
                <w:szCs w:val="24"/>
              </w:rPr>
              <w:t>Урегульованість дій</w:t>
            </w:r>
          </w:p>
          <w:p w:rsidR="007942D8" w:rsidRPr="007942D8" w:rsidRDefault="007942D8" w:rsidP="00AD3C72">
            <w:pPr>
              <w:pStyle w:val="a5"/>
              <w:jc w:val="both"/>
            </w:pPr>
            <w:r w:rsidRPr="007942D8">
              <w:t>Зменшення обсягу робіт на знімання прилеглої території, що підвищує продуктивність праці.</w:t>
            </w:r>
          </w:p>
          <w:p w:rsidR="007942D8" w:rsidRPr="007942D8" w:rsidRDefault="007942D8" w:rsidP="00AD3C72">
            <w:pPr>
              <w:pStyle w:val="a5"/>
              <w:jc w:val="both"/>
            </w:pPr>
            <w:r w:rsidRPr="007942D8">
              <w:t>Зменшення часу на узгодження результатів знімань у зв’язку з необхідністю їх уточнення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2D8" w:rsidRPr="007942D8" w:rsidRDefault="007942D8" w:rsidP="00AD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D8">
              <w:rPr>
                <w:rFonts w:ascii="Times New Roman" w:hAnsi="Times New Roman" w:cs="Times New Roman"/>
                <w:sz w:val="24"/>
                <w:szCs w:val="24"/>
              </w:rPr>
              <w:t>Витрати часу на подання інформації до служби містобудівного кадастру</w:t>
            </w:r>
          </w:p>
        </w:tc>
      </w:tr>
    </w:tbl>
    <w:p w:rsidR="00444673" w:rsidRDefault="00444673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7568"/>
      </w:tblGrid>
      <w:tr w:rsidR="00DA4836" w:rsidTr="00DA4836">
        <w:tc>
          <w:tcPr>
            <w:tcW w:w="2671" w:type="dxa"/>
          </w:tcPr>
          <w:p w:rsid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Сумарні витрати на альтернативи</w:t>
            </w:r>
          </w:p>
        </w:tc>
        <w:tc>
          <w:tcPr>
            <w:tcW w:w="7526" w:type="dxa"/>
          </w:tcPr>
          <w:p w:rsidR="00DA4836" w:rsidRP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 витрат, гривень</w:t>
            </w:r>
          </w:p>
        </w:tc>
      </w:tr>
      <w:tr w:rsidR="00DA4836" w:rsidRPr="00DA4836" w:rsidTr="00DA4836">
        <w:tc>
          <w:tcPr>
            <w:tcW w:w="0" w:type="auto"/>
            <w:hideMark/>
          </w:tcPr>
          <w:p w:rsidR="00DA4836" w:rsidRPr="00DA4836" w:rsidRDefault="00DA4836" w:rsidP="00AD3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 регулювання</w:t>
            </w:r>
          </w:p>
        </w:tc>
        <w:tc>
          <w:tcPr>
            <w:tcW w:w="0" w:type="auto"/>
            <w:hideMark/>
          </w:tcPr>
          <w:p w:rsidR="00DA4836" w:rsidRPr="00DA4836" w:rsidRDefault="00DA4836" w:rsidP="00AD3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Сфера регулювання не стосується діяльності суб’єктів господарювання великого і середнього підприємництва</w:t>
            </w:r>
          </w:p>
        </w:tc>
      </w:tr>
      <w:tr w:rsidR="00DA4836" w:rsidTr="00DA4836">
        <w:tc>
          <w:tcPr>
            <w:tcW w:w="2671" w:type="dxa"/>
          </w:tcPr>
          <w:p w:rsid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Прийняття даного регуляторного акту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26" w:type="dxa"/>
          </w:tcPr>
          <w:p w:rsid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Сфера регулювання не стосується діяльності суб’єктів господарювання великого і середнього підприємництва </w:t>
            </w:r>
          </w:p>
        </w:tc>
      </w:tr>
      <w:tr w:rsidR="00DA4836" w:rsidTr="00DA4836">
        <w:tc>
          <w:tcPr>
            <w:tcW w:w="2671" w:type="dxa"/>
          </w:tcPr>
          <w:p w:rsid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26" w:type="dxa"/>
          </w:tcPr>
          <w:p w:rsid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A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IV. Вибір найбільш оптимального альтернативного способу досягнення цілей</w:t>
      </w:r>
    </w:p>
    <w:p w:rsidR="00DA4836" w:rsidRP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 найбільш оптимального альтернативного способу досягнення цілей з</w:t>
      </w:r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дійсн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юється</w:t>
      </w:r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урахуванням системи бальної оцінки ступеня досягнення визначених цілей.</w:t>
      </w:r>
    </w:p>
    <w:p w:rsidR="00DA4836" w:rsidRP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53"/>
      <w:bookmarkEnd w:id="15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 балів визначається за чотирибальною системою оцінки ступеня досягнення визначених цілей, де:</w:t>
      </w:r>
    </w:p>
    <w:p w:rsidR="00DA4836" w:rsidRP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54"/>
      <w:bookmarkEnd w:id="16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4 - цілі прийняття регуляторного </w:t>
      </w:r>
      <w:proofErr w:type="spellStart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можуть бути досягнуті повною мірою (проблема більше існувати не буде);</w:t>
      </w:r>
    </w:p>
    <w:p w:rsidR="00DA4836" w:rsidRP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55"/>
      <w:bookmarkEnd w:id="17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3 - цілі прийняття регуляторного </w:t>
      </w:r>
      <w:proofErr w:type="spellStart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можуть бути досягнуті майже  повною мірою (усі важливі аспекти проблеми існувати не будуть);</w:t>
      </w:r>
    </w:p>
    <w:p w:rsidR="00DA4836" w:rsidRP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56"/>
      <w:bookmarkEnd w:id="18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2 - цілі прийняття регуляторного </w:t>
      </w:r>
      <w:proofErr w:type="spellStart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57"/>
      <w:bookmarkEnd w:id="19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1 - цілі прийняття регуляторного </w:t>
      </w:r>
      <w:proofErr w:type="spellStart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DA48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не можуть бути досягнуті (проблема продовжує існувати).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789"/>
        <w:gridCol w:w="1668"/>
        <w:gridCol w:w="1664"/>
        <w:gridCol w:w="793"/>
        <w:gridCol w:w="2493"/>
      </w:tblGrid>
      <w:tr w:rsidR="00DA4836" w:rsidTr="003F5B05">
        <w:tc>
          <w:tcPr>
            <w:tcW w:w="3399" w:type="dxa"/>
            <w:gridSpan w:val="2"/>
          </w:tcPr>
          <w:p w:rsidR="00DA4836" w:rsidRPr="00DA4836" w:rsidRDefault="00DA4836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399" w:type="dxa"/>
            <w:gridSpan w:val="2"/>
          </w:tcPr>
          <w:p w:rsidR="00DA4836" w:rsidRPr="00DA4836" w:rsidRDefault="00DA4836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399" w:type="dxa"/>
            <w:gridSpan w:val="2"/>
          </w:tcPr>
          <w:p w:rsidR="00DA4836" w:rsidRPr="00DA4836" w:rsidRDefault="00DA4836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DA4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</w:t>
            </w:r>
            <w:proofErr w:type="spellEnd"/>
          </w:p>
        </w:tc>
      </w:tr>
      <w:tr w:rsidR="00DA4836" w:rsidRPr="00DA4836" w:rsidTr="003F5B05">
        <w:tc>
          <w:tcPr>
            <w:tcW w:w="3399" w:type="dxa"/>
            <w:gridSpan w:val="2"/>
          </w:tcPr>
          <w:p w:rsidR="00DA4836" w:rsidRPr="00DA4836" w:rsidRDefault="00DA4836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Альтернатива 1</w:t>
            </w:r>
          </w:p>
        </w:tc>
        <w:tc>
          <w:tcPr>
            <w:tcW w:w="3399" w:type="dxa"/>
            <w:gridSpan w:val="2"/>
          </w:tcPr>
          <w:p w:rsidR="00DA4836" w:rsidRPr="00DA4836" w:rsidRDefault="003F5B05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99" w:type="dxa"/>
            <w:gridSpan w:val="2"/>
          </w:tcPr>
          <w:p w:rsidR="00DA4836" w:rsidRPr="00DA4836" w:rsidRDefault="003F5B05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</w:t>
            </w:r>
            <w:r w:rsidRPr="003F5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еможливо створити єдину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цифрову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топографічн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території населених пунктів Калуської міської територіальної громади</w:t>
            </w:r>
          </w:p>
        </w:tc>
      </w:tr>
      <w:tr w:rsidR="00DA4836" w:rsidTr="003F5B05">
        <w:tc>
          <w:tcPr>
            <w:tcW w:w="3399" w:type="dxa"/>
            <w:gridSpan w:val="2"/>
          </w:tcPr>
          <w:p w:rsidR="00DA4836" w:rsidRDefault="00DA4836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Альтернатива 2</w:t>
            </w:r>
          </w:p>
        </w:tc>
        <w:tc>
          <w:tcPr>
            <w:tcW w:w="3399" w:type="dxa"/>
            <w:gridSpan w:val="2"/>
          </w:tcPr>
          <w:p w:rsidR="00DA4836" w:rsidRDefault="003F5B05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99" w:type="dxa"/>
            <w:gridSpan w:val="2"/>
          </w:tcPr>
          <w:p w:rsidR="00DA4836" w:rsidRDefault="003F5B05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B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Дає змогу створити єдину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цифрову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топографічн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території населених пунктів Калуської міської територіальної громади</w:t>
            </w:r>
          </w:p>
        </w:tc>
      </w:tr>
      <w:tr w:rsidR="003F5B05" w:rsidRPr="003F5B05" w:rsidTr="003F5B05">
        <w:tc>
          <w:tcPr>
            <w:tcW w:w="2549" w:type="dxa"/>
            <w:hideMark/>
          </w:tcPr>
          <w:p w:rsidR="003F5B05" w:rsidRPr="003F5B05" w:rsidRDefault="003F5B05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F5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Рейтинг результативності</w:t>
            </w:r>
          </w:p>
        </w:tc>
        <w:tc>
          <w:tcPr>
            <w:tcW w:w="2549" w:type="dxa"/>
            <w:gridSpan w:val="2"/>
            <w:hideMark/>
          </w:tcPr>
          <w:p w:rsidR="003F5B05" w:rsidRPr="003F5B05" w:rsidRDefault="003F5B05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F5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Вигоди (підсумок)</w:t>
            </w:r>
          </w:p>
        </w:tc>
        <w:tc>
          <w:tcPr>
            <w:tcW w:w="2549" w:type="dxa"/>
            <w:gridSpan w:val="2"/>
            <w:hideMark/>
          </w:tcPr>
          <w:p w:rsidR="003F5B05" w:rsidRPr="003F5B05" w:rsidRDefault="003F5B05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F5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Витрати (підсумок)</w:t>
            </w:r>
          </w:p>
        </w:tc>
        <w:tc>
          <w:tcPr>
            <w:tcW w:w="2550" w:type="dxa"/>
            <w:hideMark/>
          </w:tcPr>
          <w:p w:rsidR="003F5B05" w:rsidRPr="003F5B05" w:rsidRDefault="003F5B05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F5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3F5B05" w:rsidTr="003F5B05">
        <w:tc>
          <w:tcPr>
            <w:tcW w:w="2549" w:type="dxa"/>
          </w:tcPr>
          <w:p w:rsidR="003F5B05" w:rsidRDefault="003F5B05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регулювання</w:t>
            </w:r>
          </w:p>
        </w:tc>
        <w:tc>
          <w:tcPr>
            <w:tcW w:w="2549" w:type="dxa"/>
            <w:gridSpan w:val="2"/>
          </w:tcPr>
          <w:p w:rsidR="003F5B05" w:rsidRDefault="003F5B05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49" w:type="dxa"/>
            <w:gridSpan w:val="2"/>
          </w:tcPr>
          <w:p w:rsidR="003F5B05" w:rsidRDefault="003F5B05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50" w:type="dxa"/>
          </w:tcPr>
          <w:p w:rsidR="003F5B05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Проблема продовжує існувати</w:t>
            </w:r>
          </w:p>
        </w:tc>
      </w:tr>
      <w:tr w:rsidR="003F5B05" w:rsidTr="003F5B05">
        <w:tc>
          <w:tcPr>
            <w:tcW w:w="2549" w:type="dxa"/>
          </w:tcPr>
          <w:p w:rsidR="003F5B05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Прийняття даного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2549" w:type="dxa"/>
            <w:gridSpan w:val="2"/>
          </w:tcPr>
          <w:p w:rsidR="003F5B05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49" w:type="dxa"/>
            <w:gridSpan w:val="2"/>
          </w:tcPr>
          <w:p w:rsidR="003F5B05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0" w:type="dxa"/>
          </w:tcPr>
          <w:p w:rsidR="003F5B05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Проблема більше існувати не буде</w:t>
            </w:r>
          </w:p>
        </w:tc>
      </w:tr>
    </w:tbl>
    <w:p w:rsidR="00DA4836" w:rsidRDefault="00DA4836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338"/>
        <w:gridCol w:w="3297"/>
      </w:tblGrid>
      <w:tr w:rsidR="009D772B" w:rsidTr="009D772B"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D772B" w:rsidRPr="009D772B" w:rsidTr="009D772B">
        <w:tc>
          <w:tcPr>
            <w:tcW w:w="3399" w:type="dxa"/>
            <w:hideMark/>
          </w:tcPr>
          <w:p w:rsidR="009D772B" w:rsidRPr="009D772B" w:rsidRDefault="009D772B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D7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399" w:type="dxa"/>
            <w:hideMark/>
          </w:tcPr>
          <w:p w:rsidR="009D772B" w:rsidRPr="009D772B" w:rsidRDefault="009D772B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D7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399" w:type="dxa"/>
            <w:hideMark/>
          </w:tcPr>
          <w:p w:rsidR="009D772B" w:rsidRPr="009D772B" w:rsidRDefault="009D772B" w:rsidP="00AD3C7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9D7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9D7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</w:tr>
      <w:tr w:rsidR="009D772B" w:rsidTr="009D772B"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регулювання</w:t>
            </w:r>
          </w:p>
        </w:tc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Проблема продовжує існувати</w:t>
            </w:r>
          </w:p>
        </w:tc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D772B" w:rsidTr="009D772B"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Прийняття даного 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  <w:tc>
          <w:tcPr>
            <w:tcW w:w="3399" w:type="dxa"/>
          </w:tcPr>
          <w:p w:rsidR="009D772B" w:rsidRDefault="009D772B" w:rsidP="00AD3C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Проблема більше існувати не буде</w:t>
            </w:r>
          </w:p>
        </w:tc>
        <w:tc>
          <w:tcPr>
            <w:tcW w:w="3399" w:type="dxa"/>
          </w:tcPr>
          <w:p w:rsidR="009D772B" w:rsidRPr="009D772B" w:rsidRDefault="009D772B" w:rsidP="00AD3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9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 зовнішніх факторів, які можуть вплинути на дію запропонованого регул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яторного акту слід віднести: </w:t>
            </w:r>
            <w:r w:rsidRPr="009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неналежне фінансування з міського бюджету матеріально-технічного забезпечення служби містобудівного кадастру;</w:t>
            </w:r>
          </w:p>
          <w:p w:rsidR="009D772B" w:rsidRDefault="009D772B" w:rsidP="00AD3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інформаційна необізнаність суб’єктів господарської діяльності як щодо самого регуляторного акту, так і щодо переваг, які надає користування інфо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рмацією містобудівного кадастру.</w:t>
            </w:r>
          </w:p>
        </w:tc>
      </w:tr>
    </w:tbl>
    <w:p w:rsidR="00492932" w:rsidRPr="00492932" w:rsidRDefault="00492932" w:rsidP="00AD3C72">
      <w:pPr>
        <w:spacing w:before="100" w:beforeAutospacing="1" w:after="100" w:afterAutospacing="1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V. Механізм, який пропонується застосувати  для розв’язання</w:t>
      </w:r>
      <w:r w:rsidRPr="004929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проблеми, і відповідні заходи</w:t>
      </w:r>
    </w:p>
    <w:p w:rsidR="00492932" w:rsidRPr="006E7DB7" w:rsidRDefault="00492932" w:rsidP="006E7DB7">
      <w:pPr>
        <w:spacing w:before="100" w:beforeAutospacing="1" w:after="100" w:afterAutospacing="1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E7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Для виконання п. 23 постанови Кабінету Міністрів України від 25.05.2011 № 559 «Про містобудівний кадастр» інших законодавчих актів, затвердження нормативно-правових актів, які становлять правову основу формування та ведення містобудівного кадастру міста Калуша та Калуської міської територіальної громади, пропонується затвердити Порядок організації,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топографічної основи в М 1:500 на території Калуської міської територіальної громади. Проектом рішення передбачається затвердження Порядку, який встановлює загальний порядок організації створення, оновлення, перевірки топографо-геодезичних зйомок, впорядкування геодезичних розбивок і контрольно-виконавчих зйомок інженерних мереж та споруд, а також створення єдиної цифрової топографічної основи в М 1:500 на території Калуської міської територіальної громади. </w:t>
      </w:r>
    </w:p>
    <w:p w:rsidR="00492932" w:rsidRPr="00492932" w:rsidRDefault="00492932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VI. Оцінка виконання вимог регуляторного </w:t>
      </w:r>
      <w:proofErr w:type="spellStart"/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акта</w:t>
      </w:r>
      <w:proofErr w:type="spellEnd"/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92932" w:rsidRPr="00492932" w:rsidRDefault="00492932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29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</w:t>
      </w:r>
      <w:bookmarkStart w:id="20" w:name="n164"/>
      <w:bookmarkEnd w:id="20"/>
      <w:r w:rsidRPr="004929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Тест малого підприємництва додається (Додаток 1). </w:t>
      </w:r>
    </w:p>
    <w:p w:rsidR="00492932" w:rsidRPr="00492932" w:rsidRDefault="00492932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VII. Обґрунтування запропонованого  строку дії регуляторного  </w:t>
      </w:r>
      <w:proofErr w:type="spellStart"/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акта</w:t>
      </w:r>
      <w:proofErr w:type="spellEnd"/>
    </w:p>
    <w:p w:rsidR="00492932" w:rsidRPr="00492932" w:rsidRDefault="00492932" w:rsidP="00AD3C72">
      <w:pPr>
        <w:spacing w:before="100" w:beforeAutospacing="1" w:after="100" w:afterAutospacing="1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29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</w:t>
      </w:r>
      <w:bookmarkStart w:id="21" w:name="n167"/>
      <w:bookmarkEnd w:id="21"/>
      <w:r w:rsidRPr="004929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Заплановани</w:t>
      </w:r>
      <w:r w:rsidR="00AD3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й строк дії регуляторного </w:t>
      </w:r>
      <w:proofErr w:type="spellStart"/>
      <w:r w:rsidR="00AD3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="00AD3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D3C72" w:rsidRPr="00AD3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пропонується не обмежувати у часі.</w:t>
      </w:r>
    </w:p>
    <w:p w:rsidR="00492932" w:rsidRPr="00492932" w:rsidRDefault="00492932" w:rsidP="00AD3C72">
      <w:pPr>
        <w:spacing w:before="100" w:beforeAutospacing="1" w:after="100" w:afterAutospacing="1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168"/>
      <w:bookmarkEnd w:id="22"/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VIII. Визначення показників  результативності  дії регуляторного  </w:t>
      </w:r>
      <w:proofErr w:type="spellStart"/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акта</w:t>
      </w:r>
      <w:proofErr w:type="spellEnd"/>
    </w:p>
    <w:p w:rsidR="006E7DB7" w:rsidRDefault="00492932" w:rsidP="006E7DB7">
      <w:pPr>
        <w:spacing w:before="100" w:beforeAutospacing="1" w:after="100" w:afterAutospacing="1" w:line="240" w:lineRule="auto"/>
        <w:ind w:right="56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uk-UA"/>
        </w:rPr>
      </w:pPr>
      <w:r w:rsidRPr="0049293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</w:t>
      </w:r>
      <w:r w:rsidRPr="00492932">
        <w:rPr>
          <w:rFonts w:ascii="Times New Roman" w:eastAsia="Times New Roman" w:hAnsi="Times New Roman" w:cs="Times New Roman"/>
          <w:color w:val="303030"/>
          <w:sz w:val="24"/>
          <w:szCs w:val="24"/>
          <w:lang w:eastAsia="uk-UA"/>
        </w:rPr>
        <w:t xml:space="preserve">Прогнозні показники результативності дії регуляторного </w:t>
      </w:r>
      <w:proofErr w:type="spellStart"/>
      <w:r w:rsidRPr="00492932">
        <w:rPr>
          <w:rFonts w:ascii="Times New Roman" w:eastAsia="Times New Roman" w:hAnsi="Times New Roman" w:cs="Times New Roman"/>
          <w:color w:val="303030"/>
          <w:sz w:val="24"/>
          <w:szCs w:val="24"/>
          <w:lang w:eastAsia="uk-UA"/>
        </w:rPr>
        <w:t>акта</w:t>
      </w:r>
      <w:proofErr w:type="spellEnd"/>
      <w:r w:rsidRPr="00492932">
        <w:rPr>
          <w:rFonts w:ascii="Times New Roman" w:eastAsia="Times New Roman" w:hAnsi="Times New Roman" w:cs="Times New Roman"/>
          <w:color w:val="303030"/>
          <w:sz w:val="24"/>
          <w:szCs w:val="24"/>
          <w:lang w:eastAsia="uk-UA"/>
        </w:rPr>
        <w:t>:</w:t>
      </w:r>
      <w:bookmarkStart w:id="23" w:name="n170"/>
      <w:bookmarkEnd w:id="23"/>
    </w:p>
    <w:p w:rsidR="00AD3C72" w:rsidRPr="006E7DB7" w:rsidRDefault="00AD3C72" w:rsidP="006E7DB7">
      <w:pPr>
        <w:spacing w:before="100" w:beforeAutospacing="1" w:after="100" w:afterAutospacing="1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3C72">
        <w:rPr>
          <w:rFonts w:ascii="Times New Roman" w:hAnsi="Times New Roman" w:cs="Times New Roman"/>
          <w:sz w:val="24"/>
          <w:szCs w:val="24"/>
        </w:rPr>
        <w:t xml:space="preserve">Відстеження результативності дії зазначеного регуляторного </w:t>
      </w:r>
      <w:proofErr w:type="spellStart"/>
      <w:r w:rsidRPr="00AD3C72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AD3C72">
        <w:rPr>
          <w:rFonts w:ascii="Times New Roman" w:hAnsi="Times New Roman" w:cs="Times New Roman"/>
          <w:sz w:val="24"/>
          <w:szCs w:val="24"/>
        </w:rPr>
        <w:t xml:space="preserve"> передбачається за наступними критеріями: </w:t>
      </w:r>
    </w:p>
    <w:p w:rsidR="00AD3C72" w:rsidRPr="00AD3C72" w:rsidRDefault="00AD3C72" w:rsidP="006E7D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C72">
        <w:rPr>
          <w:rFonts w:ascii="Times New Roman" w:hAnsi="Times New Roman" w:cs="Times New Roman"/>
          <w:sz w:val="24"/>
          <w:szCs w:val="24"/>
        </w:rPr>
        <w:t xml:space="preserve">1.Кількість контрольно-виконавчих знімань. </w:t>
      </w:r>
    </w:p>
    <w:p w:rsidR="00AD3C72" w:rsidRDefault="00AD3C72" w:rsidP="006E7D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C72">
        <w:rPr>
          <w:rFonts w:ascii="Times New Roman" w:hAnsi="Times New Roman" w:cs="Times New Roman"/>
          <w:sz w:val="24"/>
          <w:szCs w:val="24"/>
        </w:rPr>
        <w:t xml:space="preserve">2.Кількість актів виносу в натуру споруд, червоних ліній та основних напрямків інженерних мереж. </w:t>
      </w:r>
    </w:p>
    <w:p w:rsidR="00AD3C72" w:rsidRPr="00AD3C72" w:rsidRDefault="00AD3C72" w:rsidP="006E7DB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C72">
        <w:rPr>
          <w:rFonts w:ascii="Times New Roman" w:hAnsi="Times New Roman" w:cs="Times New Roman"/>
          <w:sz w:val="24"/>
          <w:szCs w:val="24"/>
        </w:rPr>
        <w:t xml:space="preserve">3.Кількість інженерно-геодезичних </w:t>
      </w:r>
      <w:proofErr w:type="spellStart"/>
      <w:r w:rsidRPr="00AD3C72">
        <w:rPr>
          <w:rFonts w:ascii="Times New Roman" w:hAnsi="Times New Roman" w:cs="Times New Roman"/>
          <w:sz w:val="24"/>
          <w:szCs w:val="24"/>
        </w:rPr>
        <w:t>вишукувань</w:t>
      </w:r>
      <w:proofErr w:type="spellEnd"/>
      <w:r w:rsidRPr="00AD3C72">
        <w:rPr>
          <w:rFonts w:ascii="Times New Roman" w:hAnsi="Times New Roman" w:cs="Times New Roman"/>
          <w:sz w:val="24"/>
          <w:szCs w:val="24"/>
        </w:rPr>
        <w:t xml:space="preserve"> для проектування</w:t>
      </w:r>
      <w:r w:rsidR="006E7DB7">
        <w:rPr>
          <w:rFonts w:ascii="Times New Roman" w:hAnsi="Times New Roman" w:cs="Times New Roman"/>
          <w:sz w:val="24"/>
          <w:szCs w:val="24"/>
        </w:rPr>
        <w:t>.</w:t>
      </w:r>
    </w:p>
    <w:p w:rsidR="00492932" w:rsidRPr="00492932" w:rsidRDefault="00492932" w:rsidP="00AD3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IX. Визначення заходів, за допомогою яких  здійснюватиметься  відстеження результативності  дії регуляторного  </w:t>
      </w:r>
      <w:proofErr w:type="spellStart"/>
      <w:r w:rsidRPr="00492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акта</w:t>
      </w:r>
      <w:proofErr w:type="spellEnd"/>
    </w:p>
    <w:p w:rsidR="00492932" w:rsidRPr="006E7DB7" w:rsidRDefault="00492932" w:rsidP="00AD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</w:t>
      </w:r>
      <w:bookmarkStart w:id="24" w:name="n171"/>
      <w:bookmarkStart w:id="25" w:name="n172"/>
      <w:bookmarkEnd w:id="24"/>
      <w:bookmarkEnd w:id="25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Строки проведення відстеження результативності дії регуляторного </w:t>
      </w:r>
      <w:proofErr w:type="spellStart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базове повторне та періодичне відстеження результативності регуляторного акту буде проведено у терміни, визначені Законом України «Про засади державної регуляторної політики у сфері господарської </w:t>
      </w:r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діяльності» та Методики проведення аналізу впливу регуляторного </w:t>
      </w:r>
      <w:proofErr w:type="spellStart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Постановою Кабінету Міністрів України від 11.03.2004 № 308 (зі змінами).</w:t>
      </w:r>
    </w:p>
    <w:p w:rsidR="00AD3C72" w:rsidRPr="006E7DB7" w:rsidRDefault="00492932" w:rsidP="00AD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Відстеження результативності регуляторного </w:t>
      </w:r>
      <w:proofErr w:type="spellStart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 здійснюватися управлінням архітектури та містобудування Калуської міської ради з використанням даних управління архітектури та містобудівного кадастру .</w:t>
      </w:r>
    </w:p>
    <w:p w:rsidR="00492932" w:rsidRPr="006E7DB7" w:rsidRDefault="00492932" w:rsidP="00AD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разі виявлення неврегульованих та проблемних аспектів шляхом проведення аналізу показників дії цього </w:t>
      </w:r>
      <w:proofErr w:type="spellStart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їх буде виправлено шляхом внесення відповідних змін. </w:t>
      </w:r>
    </w:p>
    <w:p w:rsidR="00492932" w:rsidRPr="006E7DB7" w:rsidRDefault="00492932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173"/>
      <w:bookmarkEnd w:id="26"/>
      <w:r w:rsidRPr="006E7D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 регуляторного впливу підготовлено управлінням архітектури та містобудування Калуської міської ради.</w:t>
      </w:r>
    </w:p>
    <w:p w:rsidR="009D772B" w:rsidRPr="008D5AEC" w:rsidRDefault="009D772B" w:rsidP="00AD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D5AEC" w:rsidRPr="00E66FCA" w:rsidRDefault="008D5AEC" w:rsidP="00AD3C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34320" w:rsidRDefault="00E66FCA" w:rsidP="00AD3C72">
      <w:pPr>
        <w:jc w:val="both"/>
        <w:rPr>
          <w:rFonts w:ascii="Times New Roman" w:hAnsi="Times New Roman" w:cs="Times New Roman"/>
          <w:sz w:val="28"/>
          <w:szCs w:val="28"/>
        </w:rPr>
      </w:pPr>
      <w:r w:rsidRPr="0092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20" w:rsidRPr="00434320" w:rsidRDefault="00434320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20">
        <w:rPr>
          <w:rFonts w:ascii="Times New Roman" w:hAnsi="Times New Roman" w:cs="Times New Roman"/>
          <w:b/>
          <w:sz w:val="28"/>
          <w:szCs w:val="28"/>
        </w:rPr>
        <w:t>Начальник управління архітектури</w:t>
      </w:r>
    </w:p>
    <w:p w:rsidR="00434320" w:rsidRDefault="00434320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20">
        <w:rPr>
          <w:rFonts w:ascii="Times New Roman" w:hAnsi="Times New Roman" w:cs="Times New Roman"/>
          <w:b/>
          <w:sz w:val="28"/>
          <w:szCs w:val="28"/>
        </w:rPr>
        <w:t xml:space="preserve">та містобудування міської ради                               Роман </w:t>
      </w:r>
      <w:proofErr w:type="spellStart"/>
      <w:r w:rsidRPr="00434320">
        <w:rPr>
          <w:rFonts w:ascii="Times New Roman" w:hAnsi="Times New Roman" w:cs="Times New Roman"/>
          <w:b/>
          <w:sz w:val="28"/>
          <w:szCs w:val="28"/>
        </w:rPr>
        <w:t>Кузик</w:t>
      </w:r>
      <w:proofErr w:type="spellEnd"/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37B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DB7" w:rsidRDefault="00EC337B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E7DB7" w:rsidRDefault="006E7DB7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DB7" w:rsidRDefault="006E7DB7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DB7" w:rsidRDefault="006E7DB7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DB7" w:rsidRDefault="006E7DB7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EC33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7DB7" w:rsidRDefault="006E7DB7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DB7" w:rsidRDefault="006E7DB7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337B" w:rsidRPr="00D84B7F" w:rsidRDefault="000D5AAA" w:rsidP="000D5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EC337B" w:rsidRPr="00D84B7F">
        <w:rPr>
          <w:rFonts w:ascii="Times New Roman" w:eastAsia="Calibri" w:hAnsi="Times New Roman" w:cs="Times New Roman"/>
          <w:sz w:val="24"/>
          <w:szCs w:val="24"/>
        </w:rPr>
        <w:t>Додаток 1</w:t>
      </w:r>
    </w:p>
    <w:p w:rsidR="000D5AAA" w:rsidRDefault="000D5AAA" w:rsidP="000D5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C337B" w:rsidRPr="00D84B7F">
        <w:rPr>
          <w:rFonts w:ascii="Times New Roman" w:eastAsia="Calibri" w:hAnsi="Times New Roman" w:cs="Times New Roman"/>
          <w:sz w:val="24"/>
          <w:szCs w:val="24"/>
        </w:rPr>
        <w:t xml:space="preserve">до аналізу регуляторного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D5AAA" w:rsidRDefault="000D5AAA" w:rsidP="000D5AA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акту</w:t>
      </w:r>
      <w:r w:rsidR="00EC337B" w:rsidRPr="00D84B7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проекту </w:t>
      </w:r>
      <w:r w:rsidR="00EC337B" w:rsidRPr="00D84B7F">
        <w:rPr>
          <w:rFonts w:ascii="Times New Roman" w:eastAsia="Calibri" w:hAnsi="Times New Roman" w:cs="Times New Roman"/>
          <w:sz w:val="24"/>
          <w:szCs w:val="24"/>
        </w:rPr>
        <w:t xml:space="preserve">рішення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0D5AAA" w:rsidRDefault="000D5AAA" w:rsidP="000D5A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EC337B">
        <w:rPr>
          <w:rFonts w:ascii="Times New Roman" w:eastAsia="Calibri" w:hAnsi="Times New Roman" w:cs="Times New Roman"/>
          <w:sz w:val="24"/>
          <w:szCs w:val="24"/>
        </w:rPr>
        <w:t>міської ради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B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                              </w:t>
      </w:r>
    </w:p>
    <w:p w:rsidR="006E7DB7" w:rsidRPr="000D5AAA" w:rsidRDefault="000D5AAA" w:rsidP="000D5AA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E7DB7" w:rsidRPr="008129C6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6E7DB7">
        <w:rPr>
          <w:rFonts w:ascii="Times New Roman" w:eastAsia="Calibri" w:hAnsi="Times New Roman" w:cs="Times New Roman"/>
          <w:sz w:val="24"/>
          <w:szCs w:val="24"/>
        </w:rPr>
        <w:t>Поряд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к</w:t>
      </w:r>
      <w:r w:rsidR="006E7DB7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0D5AAA" w:rsidRDefault="000D5AAA" w:rsidP="000D5AAA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орг</w:t>
      </w:r>
      <w:r w:rsidR="006E7DB7">
        <w:rPr>
          <w:rFonts w:ascii="Times New Roman" w:eastAsia="Calibri" w:hAnsi="Times New Roman" w:cs="Times New Roman"/>
          <w:sz w:val="24"/>
          <w:szCs w:val="24"/>
        </w:rPr>
        <w:t xml:space="preserve">анізації, створення, </w:t>
      </w:r>
    </w:p>
    <w:p w:rsidR="000D5AAA" w:rsidRDefault="000D5AAA" w:rsidP="000D5AAA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E7DB7">
        <w:rPr>
          <w:rFonts w:ascii="Times New Roman" w:eastAsia="Calibri" w:hAnsi="Times New Roman" w:cs="Times New Roman"/>
          <w:sz w:val="24"/>
          <w:szCs w:val="24"/>
        </w:rPr>
        <w:t xml:space="preserve">оновлення,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 xml:space="preserve">перевірки </w:t>
      </w:r>
    </w:p>
    <w:p w:rsidR="006E7DB7" w:rsidRDefault="000D5AAA" w:rsidP="000D5AAA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топографо-геодезичних</w:t>
      </w:r>
    </w:p>
    <w:p w:rsidR="000D5AAA" w:rsidRDefault="000D5AAA" w:rsidP="000D5AAA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 xml:space="preserve">зйомок, впорядкування </w:t>
      </w:r>
    </w:p>
    <w:p w:rsidR="000D5AAA" w:rsidRDefault="000D5AAA" w:rsidP="000D5AAA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геодезичних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розбивок і</w:t>
      </w:r>
    </w:p>
    <w:p w:rsidR="006E7DB7" w:rsidRDefault="000D5AAA" w:rsidP="000D5AAA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 xml:space="preserve"> контрольно-виконавчих</w:t>
      </w:r>
    </w:p>
    <w:p w:rsidR="000D5AAA" w:rsidRDefault="000D5AAA" w:rsidP="000D5AAA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 xml:space="preserve">зйомок інженерних мереж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E7DB7" w:rsidRDefault="000D5AAA" w:rsidP="000D5AAA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B7">
        <w:rPr>
          <w:rFonts w:ascii="Times New Roman" w:eastAsia="Calibri" w:hAnsi="Times New Roman" w:cs="Times New Roman"/>
          <w:sz w:val="24"/>
          <w:szCs w:val="24"/>
        </w:rPr>
        <w:t xml:space="preserve">споруд,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а також створення</w:t>
      </w:r>
    </w:p>
    <w:p w:rsidR="006E7DB7" w:rsidRDefault="000D5AAA" w:rsidP="000D5AAA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єдиної топографічної основи</w:t>
      </w:r>
    </w:p>
    <w:p w:rsidR="000D5AAA" w:rsidRDefault="000D5AAA" w:rsidP="000D5AAA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 xml:space="preserve">в М 1:500 на території </w:t>
      </w:r>
      <w:r w:rsidR="006E7D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AAA" w:rsidRDefault="000D5AAA" w:rsidP="000D5AAA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>Калуської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B7" w:rsidRPr="006E7DB7">
        <w:rPr>
          <w:rFonts w:ascii="Times New Roman" w:eastAsia="Calibri" w:hAnsi="Times New Roman" w:cs="Times New Roman"/>
          <w:sz w:val="24"/>
          <w:szCs w:val="24"/>
        </w:rPr>
        <w:t xml:space="preserve">міської </w:t>
      </w:r>
    </w:p>
    <w:p w:rsidR="006E7DB7" w:rsidRPr="00D84B7F" w:rsidRDefault="000D5AAA" w:rsidP="000D5AAA">
      <w:pPr>
        <w:spacing w:after="0" w:line="240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27" w:name="_GoBack"/>
      <w:bookmarkEnd w:id="27"/>
      <w:r w:rsidR="006E7DB7" w:rsidRPr="006E7DB7">
        <w:rPr>
          <w:rFonts w:ascii="Times New Roman" w:eastAsia="Calibri" w:hAnsi="Times New Roman" w:cs="Times New Roman"/>
          <w:sz w:val="24"/>
          <w:szCs w:val="24"/>
        </w:rPr>
        <w:t>територіальної громади</w:t>
      </w:r>
    </w:p>
    <w:p w:rsidR="00EC337B" w:rsidRPr="00D84B7F" w:rsidRDefault="00EC337B" w:rsidP="000D5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337B" w:rsidRPr="00D84B7F" w:rsidRDefault="00EC337B" w:rsidP="00EC33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37B" w:rsidRPr="00D84B7F" w:rsidRDefault="00EC337B" w:rsidP="00EC337B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37B" w:rsidRPr="00D84B7F" w:rsidRDefault="00EC337B" w:rsidP="00EC337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84B7F">
        <w:rPr>
          <w:rFonts w:ascii="Times New Roman" w:eastAsia="Calibri" w:hAnsi="Times New Roman" w:cs="Times New Roman"/>
          <w:b/>
          <w:bCs/>
          <w:sz w:val="24"/>
          <w:szCs w:val="24"/>
        </w:rPr>
        <w:t>ВИТРАТИ </w:t>
      </w:r>
      <w:r w:rsidRPr="00D84B7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84B7F">
        <w:rPr>
          <w:rFonts w:ascii="Times New Roman" w:eastAsia="Calibri" w:hAnsi="Times New Roman" w:cs="Times New Roman"/>
          <w:b/>
          <w:bCs/>
          <w:sz w:val="24"/>
          <w:szCs w:val="24"/>
        </w:rPr>
        <w:t>на одного суб’єкта господарювання великого і середнього підприємництва,</w:t>
      </w:r>
    </w:p>
    <w:p w:rsidR="00EC337B" w:rsidRPr="00D84B7F" w:rsidRDefault="00EC337B" w:rsidP="00EC337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84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які виникають внаслідок дії регуляторного </w:t>
      </w:r>
      <w:proofErr w:type="spellStart"/>
      <w:r w:rsidRPr="00D84B7F">
        <w:rPr>
          <w:rFonts w:ascii="Times New Roman" w:eastAsia="Calibri" w:hAnsi="Times New Roman" w:cs="Times New Roman"/>
          <w:b/>
          <w:bCs/>
          <w:sz w:val="24"/>
          <w:szCs w:val="24"/>
        </w:rPr>
        <w:t>акта</w:t>
      </w:r>
      <w:proofErr w:type="spellEnd"/>
    </w:p>
    <w:p w:rsidR="00EC337B" w:rsidRPr="00D84B7F" w:rsidRDefault="00EC337B" w:rsidP="00EC33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84B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 альтернативі 1</w:t>
      </w:r>
    </w:p>
    <w:p w:rsidR="00EC337B" w:rsidRPr="00D84B7F" w:rsidRDefault="00EC337B" w:rsidP="00EC33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4B7F">
        <w:rPr>
          <w:rFonts w:ascii="Times New Roman" w:eastAsia="Calibri" w:hAnsi="Times New Roman" w:cs="Times New Roman"/>
          <w:bCs/>
          <w:sz w:val="24"/>
          <w:szCs w:val="24"/>
        </w:rPr>
        <w:t>приймаємо такі скорочені позначення: Альтернатива 1- А1; Альтернатива 2 – А2</w:t>
      </w:r>
      <w:r>
        <w:rPr>
          <w:rFonts w:ascii="Times New Roman" w:eastAsia="Calibri" w:hAnsi="Times New Roman" w:cs="Times New Roman"/>
          <w:bCs/>
          <w:sz w:val="24"/>
          <w:szCs w:val="24"/>
        </w:rPr>
        <w:t>, Альтернатива 3 – А3</w:t>
      </w:r>
    </w:p>
    <w:p w:rsidR="00EC337B" w:rsidRPr="00D84B7F" w:rsidRDefault="00EC337B" w:rsidP="00EC33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4B7F">
        <w:rPr>
          <w:rFonts w:ascii="Times New Roman" w:eastAsia="Calibri" w:hAnsi="Times New Roman" w:cs="Times New Roman"/>
          <w:bCs/>
          <w:sz w:val="24"/>
          <w:szCs w:val="24"/>
        </w:rPr>
        <w:t>розрахунок вартості 1 людино-години:</w:t>
      </w:r>
    </w:p>
    <w:tbl>
      <w:tblPr>
        <w:tblW w:w="5131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6374"/>
        <w:gridCol w:w="1288"/>
        <w:gridCol w:w="1605"/>
      </w:tblGrid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Витрати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перший рік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п'ять років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Витрати, пов'язані із </w:t>
            </w:r>
            <w:proofErr w:type="spellStart"/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наймом</w:t>
            </w:r>
            <w:proofErr w:type="spellEnd"/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додаткового персоналу,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Інше, гривень</w:t>
            </w:r>
          </w:p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</w:t>
            </w:r>
          </w:p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(сума рядків: 1 + 2 + 3 + 4 + 5 + 6 + 7 + 8),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суб’єктів неможливо спрогнозувати  </w:t>
            </w:r>
          </w:p>
        </w:tc>
      </w:tr>
      <w:tr w:rsidR="00EC337B" w:rsidRPr="00D84B7F" w:rsidTr="00DD318F"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Сумарні витрати суб'єктів господарювання великого та середнього підприємництва, на виконання регулювання (вартість регулювання) </w:t>
            </w:r>
          </w:p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(рядок 9 х рядок 10), гривень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 </w:t>
            </w:r>
          </w:p>
        </w:tc>
      </w:tr>
    </w:tbl>
    <w:p w:rsidR="00EC337B" w:rsidRPr="00D84B7F" w:rsidRDefault="00EC337B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C337B" w:rsidRPr="00D84B7F" w:rsidRDefault="00EC337B" w:rsidP="00EC337B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8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th-TH"/>
        </w:rPr>
        <w:t>ВИТРАТИ </w:t>
      </w:r>
      <w:r w:rsidRPr="00D84B7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th-TH"/>
        </w:rPr>
        <w:br/>
      </w:r>
      <w:r w:rsidRPr="00D8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th-TH"/>
        </w:rPr>
        <w:t>на одного суб’єкта господарювання великого і середнього підприємництва,</w:t>
      </w:r>
    </w:p>
    <w:p w:rsidR="00EC337B" w:rsidRPr="00D84B7F" w:rsidRDefault="00EC337B" w:rsidP="00EC337B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8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th-TH"/>
        </w:rPr>
        <w:t xml:space="preserve"> які виникають внаслідок дії регуляторного </w:t>
      </w:r>
      <w:proofErr w:type="spellStart"/>
      <w:r w:rsidRPr="00D8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th-TH"/>
        </w:rPr>
        <w:t>акта</w:t>
      </w:r>
      <w:proofErr w:type="spellEnd"/>
    </w:p>
    <w:p w:rsidR="00EC337B" w:rsidRPr="00D84B7F" w:rsidRDefault="00EC337B" w:rsidP="00EC337B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8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 w:bidi="th-TH"/>
        </w:rPr>
        <w:t>по альтернативі 2</w:t>
      </w:r>
    </w:p>
    <w:p w:rsidR="00EC337B" w:rsidRPr="00D84B7F" w:rsidRDefault="00EC337B" w:rsidP="00EC337B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zh-CN" w:bidi="th-TH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0"/>
        <w:gridCol w:w="5728"/>
        <w:gridCol w:w="1278"/>
        <w:gridCol w:w="1421"/>
      </w:tblGrid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Порядковий номер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Витрати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 перший рік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 п'ять років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 xml:space="preserve">Витрати, пов'язані із </w:t>
            </w:r>
            <w:proofErr w:type="spellStart"/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наймом</w:t>
            </w:r>
            <w:proofErr w:type="spellEnd"/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 xml:space="preserve"> додаткового персоналу,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Інше (уточнити),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РАЗОМ </w:t>
            </w:r>
          </w:p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(сума рядків: 1 + 2 + 3 + 4 + 5 + 6 + 7 + 8),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Кількість суб’єктів неможливо спрогнозувати </w:t>
            </w:r>
          </w:p>
        </w:tc>
      </w:tr>
      <w:tr w:rsidR="00EC337B" w:rsidRPr="00D84B7F" w:rsidTr="00DD318F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 xml:space="preserve">Сумарні витрати суб'єктів господарювання великого та середнього підприємництва, на виконання регулювання (вартість регулювання) </w:t>
            </w:r>
          </w:p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(рядок 9 х рядок 10), гривень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</w:t>
            </w:r>
          </w:p>
        </w:tc>
      </w:tr>
    </w:tbl>
    <w:p w:rsidR="00EC337B" w:rsidRPr="00D84B7F" w:rsidRDefault="00EC337B" w:rsidP="00EC337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4B7F">
        <w:rPr>
          <w:rFonts w:ascii="Times New Roman" w:eastAsia="Calibri" w:hAnsi="Times New Roman" w:cs="Times New Roman"/>
          <w:b/>
          <w:sz w:val="24"/>
          <w:szCs w:val="24"/>
        </w:rPr>
        <w:t>Розрахунок відповідних витрат на одного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C337B" w:rsidRPr="00D84B7F" w:rsidTr="00DD318F">
        <w:tc>
          <w:tcPr>
            <w:tcW w:w="2463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Вид витрат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У перший рік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Періодичні (за рік)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за п’ять років</w:t>
            </w:r>
          </w:p>
        </w:tc>
      </w:tr>
      <w:tr w:rsidR="00EC337B" w:rsidRPr="00D84B7F" w:rsidTr="00DD318F">
        <w:tc>
          <w:tcPr>
            <w:tcW w:w="2463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lastRenderedPageBreak/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C337B" w:rsidRPr="00D84B7F" w:rsidRDefault="00EC337B" w:rsidP="00EC3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EC337B" w:rsidRPr="00D84B7F" w:rsidTr="00DD318F">
        <w:tc>
          <w:tcPr>
            <w:tcW w:w="2943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Вид витрат</w:t>
            </w:r>
          </w:p>
        </w:tc>
        <w:tc>
          <w:tcPr>
            <w:tcW w:w="3686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2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за п’ять років</w:t>
            </w:r>
          </w:p>
        </w:tc>
      </w:tr>
      <w:tr w:rsidR="00EC337B" w:rsidRPr="00D84B7F" w:rsidTr="00DD318F">
        <w:tc>
          <w:tcPr>
            <w:tcW w:w="2943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686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C337B" w:rsidRPr="00D84B7F" w:rsidRDefault="00EC337B" w:rsidP="00EC337B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60"/>
        <w:gridCol w:w="2038"/>
        <w:gridCol w:w="1968"/>
        <w:gridCol w:w="1667"/>
      </w:tblGrid>
      <w:tr w:rsidR="00EC337B" w:rsidRPr="00D84B7F" w:rsidTr="00DD318F">
        <w:tc>
          <w:tcPr>
            <w:tcW w:w="2122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Вид витрат</w:t>
            </w:r>
          </w:p>
        </w:tc>
        <w:tc>
          <w:tcPr>
            <w:tcW w:w="20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Витрати* на ведення обліку, підготовку та подання звітності (за рік</w:t>
            </w:r>
          </w:p>
        </w:tc>
        <w:tc>
          <w:tcPr>
            <w:tcW w:w="203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196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на рік</w:t>
            </w:r>
          </w:p>
        </w:tc>
        <w:tc>
          <w:tcPr>
            <w:tcW w:w="1667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за п’ять років</w:t>
            </w:r>
          </w:p>
        </w:tc>
      </w:tr>
      <w:tr w:rsidR="00EC337B" w:rsidRPr="00D84B7F" w:rsidTr="00DD318F">
        <w:tc>
          <w:tcPr>
            <w:tcW w:w="2122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0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3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  <w:r w:rsidRPr="00D84B7F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>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60"/>
        <w:gridCol w:w="2038"/>
        <w:gridCol w:w="1968"/>
        <w:gridCol w:w="1667"/>
      </w:tblGrid>
      <w:tr w:rsidR="00EC337B" w:rsidRPr="00D84B7F" w:rsidTr="00DD318F">
        <w:tc>
          <w:tcPr>
            <w:tcW w:w="2122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Вид витрат</w:t>
            </w:r>
          </w:p>
        </w:tc>
        <w:tc>
          <w:tcPr>
            <w:tcW w:w="20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203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96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667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за п’ять років</w:t>
            </w:r>
          </w:p>
        </w:tc>
      </w:tr>
      <w:tr w:rsidR="00EC337B" w:rsidRPr="00D84B7F" w:rsidTr="00DD318F">
        <w:tc>
          <w:tcPr>
            <w:tcW w:w="2122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0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3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uk-UA"/>
        </w:rPr>
      </w:pPr>
      <w:r w:rsidRPr="00D84B7F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EC337B" w:rsidRPr="00D84B7F" w:rsidRDefault="00EC337B" w:rsidP="00EC33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60"/>
        <w:gridCol w:w="2038"/>
        <w:gridCol w:w="1968"/>
        <w:gridCol w:w="1667"/>
      </w:tblGrid>
      <w:tr w:rsidR="00EC337B" w:rsidRPr="00D84B7F" w:rsidTr="00DD318F">
        <w:tc>
          <w:tcPr>
            <w:tcW w:w="2122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Вид витрат</w:t>
            </w:r>
          </w:p>
        </w:tc>
        <w:tc>
          <w:tcPr>
            <w:tcW w:w="20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203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96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Разом за рік (стартовий)</w:t>
            </w:r>
          </w:p>
        </w:tc>
        <w:tc>
          <w:tcPr>
            <w:tcW w:w="1667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за п’ять років</w:t>
            </w:r>
          </w:p>
        </w:tc>
      </w:tr>
      <w:tr w:rsidR="00EC337B" w:rsidRPr="00D84B7F" w:rsidTr="00DD318F">
        <w:tc>
          <w:tcPr>
            <w:tcW w:w="2122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06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3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C337B" w:rsidRPr="00D84B7F" w:rsidTr="00DD318F">
        <w:tc>
          <w:tcPr>
            <w:tcW w:w="2463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Вид витрат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За рік (стартовий)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Періодичні</w:t>
            </w: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(за наступний рік)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за п’ять років</w:t>
            </w:r>
          </w:p>
        </w:tc>
      </w:tr>
      <w:tr w:rsidR="00EC337B" w:rsidRPr="00D84B7F" w:rsidTr="00DD318F">
        <w:tc>
          <w:tcPr>
            <w:tcW w:w="2463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580"/>
      </w:tblGrid>
      <w:tr w:rsidR="00EC337B" w:rsidRPr="00D84B7F" w:rsidTr="00DD318F">
        <w:tc>
          <w:tcPr>
            <w:tcW w:w="351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Вид витрат</w:t>
            </w:r>
          </w:p>
        </w:tc>
        <w:tc>
          <w:tcPr>
            <w:tcW w:w="354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58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Витрати за</w:t>
            </w: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п’ять років</w:t>
            </w:r>
          </w:p>
        </w:tc>
      </w:tr>
      <w:tr w:rsidR="00EC337B" w:rsidRPr="00D84B7F" w:rsidTr="00DD318F">
        <w:tc>
          <w:tcPr>
            <w:tcW w:w="351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Витрати, пов’язані із </w:t>
            </w:r>
            <w:proofErr w:type="spellStart"/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наймом</w:t>
            </w:r>
            <w:proofErr w:type="spellEnd"/>
            <w:r w:rsidRPr="00D84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 xml:space="preserve"> додаткового персоналу</w:t>
            </w:r>
          </w:p>
        </w:tc>
        <w:tc>
          <w:tcPr>
            <w:tcW w:w="3544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80" w:type="dxa"/>
            <w:shd w:val="clear" w:color="auto" w:fill="auto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Pr="00D84B7F" w:rsidRDefault="00EC337B" w:rsidP="00EC337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</w:pPr>
    </w:p>
    <w:p w:rsidR="00EC337B" w:rsidRDefault="00EC337B" w:rsidP="00EC3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C337B" w:rsidRPr="00D84B7F" w:rsidRDefault="00EC337B" w:rsidP="00EC3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EC337B" w:rsidRPr="00D84B7F" w:rsidRDefault="00EC337B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84B7F">
        <w:rPr>
          <w:rFonts w:ascii="Times New Roman" w:eastAsia="Calibri" w:hAnsi="Times New Roman" w:cs="Times New Roman"/>
          <w:sz w:val="24"/>
          <w:szCs w:val="24"/>
        </w:rPr>
        <w:t>Додаток 2</w:t>
      </w:r>
    </w:p>
    <w:p w:rsidR="00EC337B" w:rsidRPr="00D84B7F" w:rsidRDefault="00EC337B" w:rsidP="00EC33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до аналізу регуляторного акту - </w:t>
      </w:r>
    </w:p>
    <w:p w:rsidR="00EC337B" w:rsidRPr="00D84B7F" w:rsidRDefault="00EC337B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проекту рішення виконавчого </w:t>
      </w:r>
    </w:p>
    <w:p w:rsidR="00EC337B" w:rsidRPr="00D84B7F" w:rsidRDefault="00EC337B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комітету міської ради «Про </w:t>
      </w:r>
    </w:p>
    <w:p w:rsidR="00EC337B" w:rsidRPr="00D84B7F" w:rsidRDefault="00EC337B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затвердження  Правил </w:t>
      </w:r>
    </w:p>
    <w:p w:rsidR="00EC337B" w:rsidRPr="00D84B7F" w:rsidRDefault="00EC337B" w:rsidP="00EC33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розміщення зовнішньої реклами </w:t>
      </w:r>
    </w:p>
    <w:p w:rsidR="00EC337B" w:rsidRPr="00D84B7F" w:rsidRDefault="00EC337B" w:rsidP="00EC337B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на території Калуської міської ради</w:t>
      </w:r>
    </w:p>
    <w:p w:rsidR="00EC337B" w:rsidRPr="00D84B7F" w:rsidRDefault="00EC337B" w:rsidP="00EC33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EC337B" w:rsidRPr="00D84B7F" w:rsidRDefault="00EC337B" w:rsidP="00EC3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4B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ТЕСТ </w:t>
      </w: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4B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малого підприємництва (М-Тест)</w:t>
      </w:r>
    </w:p>
    <w:p w:rsidR="00EC337B" w:rsidRPr="00D84B7F" w:rsidRDefault="00EC337B" w:rsidP="00EC33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8" w:name="n200"/>
      <w:bookmarkEnd w:id="28"/>
      <w:r w:rsidRPr="00D84B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Консультації з представниками малого підприємництва щодо оцінки впливу регулювання.</w:t>
      </w:r>
    </w:p>
    <w:p w:rsidR="00EC337B" w:rsidRPr="00D84B7F" w:rsidRDefault="00EC337B" w:rsidP="00EC33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201"/>
      <w:bookmarkEnd w:id="29"/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по 13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2021 р.</w:t>
      </w:r>
    </w:p>
    <w:p w:rsidR="00EC337B" w:rsidRPr="00D84B7F" w:rsidRDefault="00EC337B" w:rsidP="00EC337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C337B" w:rsidRPr="00D84B7F" w:rsidTr="00DD318F">
        <w:tc>
          <w:tcPr>
            <w:tcW w:w="2463" w:type="dxa"/>
          </w:tcPr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Кількість учасників консультацій, осіб</w:t>
            </w:r>
          </w:p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C337B" w:rsidRPr="00D84B7F" w:rsidRDefault="00EC337B" w:rsidP="00DD3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Основні результати консультацій (опис)</w:t>
            </w:r>
          </w:p>
        </w:tc>
      </w:tr>
      <w:tr w:rsidR="00EC337B" w:rsidRPr="00D84B7F" w:rsidTr="00DD318F">
        <w:tc>
          <w:tcPr>
            <w:tcW w:w="2463" w:type="dxa"/>
          </w:tcPr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1.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Телефонні розмови із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власниками тимчасових споруд</w:t>
            </w: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>, наради, робочі зустрічі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Доведення до відома опитуваних, обґрунтування необхідності прийняття зазначеного проекту регуляторного акту та інформації про дотримання вимог чинного законодавства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щодо оновлення, </w:t>
            </w:r>
            <w:r w:rsidRPr="00BC5E79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єдиної цифрової топографічної основи в М 1:500 на території Калуської міської територіальної громади</w:t>
            </w:r>
          </w:p>
        </w:tc>
      </w:tr>
    </w:tbl>
    <w:p w:rsidR="00EC337B" w:rsidRPr="00D84B7F" w:rsidRDefault="00EC337B" w:rsidP="00EC33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84B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Вимірювання впливу регулювання на суб’єктів малого підприємництва (мікро- та малі):</w:t>
      </w:r>
    </w:p>
    <w:p w:rsidR="00EC337B" w:rsidRPr="00D84B7F" w:rsidRDefault="00EC337B" w:rsidP="00EC3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суб’єктів малого підприємництва, на яких поширюється регулювання: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41</w:t>
      </w: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>, у тому числі, малого підприємництва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мікропідприємництва</w:t>
      </w:r>
      <w:proofErr w:type="spellEnd"/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C337B" w:rsidRPr="00D84B7F" w:rsidRDefault="00EC337B" w:rsidP="00EC3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питома вага суб’єктів малого підприємництва у загальній кількості суб’єктів господарювання, на яких проблема справляє вплив, становить  –100% (відповідно до таблиці «Оцінка впливу на сферу інтересів суб’єктів господарювання додатка 1 до Методики проведення аналізу впливу регуляторного </w:t>
      </w:r>
      <w:proofErr w:type="spellStart"/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акта</w:t>
      </w:r>
      <w:proofErr w:type="spellEnd"/>
      <w:r w:rsidRPr="00D84B7F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C337B" w:rsidRPr="00D84B7F" w:rsidTr="00DD318F">
        <w:tc>
          <w:tcPr>
            <w:tcW w:w="2463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малого підприємництва, на яких поширюється регулювання</w:t>
            </w:r>
          </w:p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(одиниць)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малого підприємництва</w:t>
            </w:r>
          </w:p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(одиниць)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мікро-підприємництва</w:t>
            </w:r>
          </w:p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(одиниць)</w:t>
            </w:r>
          </w:p>
        </w:tc>
      </w:tr>
      <w:tr w:rsidR="00EC337B" w:rsidRPr="00D84B7F" w:rsidTr="00DD318F">
        <w:tc>
          <w:tcPr>
            <w:tcW w:w="2463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</w:tbl>
    <w:p w:rsidR="00EC337B" w:rsidRPr="00D84B7F" w:rsidRDefault="00EC337B" w:rsidP="00EC337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D84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Питома вага суб’єктів малого підприємництва у загальній кількості суб’єктів господарювання, на яких проблема справляє вплив  (відсотків) (</w:t>
      </w:r>
      <w:r w:rsidRPr="00D8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відповідно до таблиці “Оцінка впливу на сферу інтересів суб’єктів господарювання”)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C337B" w:rsidRPr="00D84B7F" w:rsidTr="00DD318F">
        <w:tc>
          <w:tcPr>
            <w:tcW w:w="2463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Суб'єкти малого підприємництва</w:t>
            </w:r>
          </w:p>
          <w:p w:rsidR="00EC337B" w:rsidRPr="00D84B7F" w:rsidRDefault="00EC337B" w:rsidP="00DD31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(%)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малого підприємництва</w:t>
            </w:r>
          </w:p>
          <w:p w:rsidR="00EC337B" w:rsidRPr="00D84B7F" w:rsidRDefault="00EC337B" w:rsidP="00DD31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(%)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тому числі </w:t>
            </w:r>
            <w:proofErr w:type="spellStart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мікропідприємництва</w:t>
            </w:r>
            <w:proofErr w:type="spellEnd"/>
          </w:p>
          <w:p w:rsidR="00EC337B" w:rsidRPr="00D84B7F" w:rsidRDefault="00EC337B" w:rsidP="00DD31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(%)</w:t>
            </w:r>
          </w:p>
        </w:tc>
      </w:tr>
      <w:tr w:rsidR="00EC337B" w:rsidRPr="00D84B7F" w:rsidTr="00DD318F">
        <w:tc>
          <w:tcPr>
            <w:tcW w:w="2463" w:type="dxa"/>
          </w:tcPr>
          <w:p w:rsidR="00EC337B" w:rsidRPr="00D84B7F" w:rsidRDefault="00EC337B" w:rsidP="00DD318F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Питома вага у загальній </w:t>
            </w:r>
            <w:proofErr w:type="spellStart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кількості,відсотків</w:t>
            </w:r>
            <w:proofErr w:type="spellEnd"/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464" w:type="dxa"/>
          </w:tcPr>
          <w:p w:rsidR="00EC337B" w:rsidRPr="00D84B7F" w:rsidRDefault="00EC337B" w:rsidP="00DD318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</w:tbl>
    <w:p w:rsidR="00EC337B" w:rsidRPr="00D84B7F" w:rsidRDefault="00EC337B" w:rsidP="00EC3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0" w:name="n204"/>
      <w:bookmarkStart w:id="31" w:name="n206"/>
      <w:bookmarkEnd w:id="30"/>
      <w:bookmarkEnd w:id="31"/>
      <w:r w:rsidRPr="00D84B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Розрахунок витрат суб’єктів малого підприємництва на виконання вимог регулювання.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97"/>
        <w:gridCol w:w="2086"/>
        <w:gridCol w:w="1839"/>
        <w:gridCol w:w="1950"/>
      </w:tblGrid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2086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83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950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за п’ять років)</w:t>
            </w:r>
          </w:p>
        </w:tc>
      </w:tr>
      <w:tr w:rsidR="00EC337B" w:rsidRPr="00D84B7F" w:rsidTr="00DD318F">
        <w:tc>
          <w:tcPr>
            <w:tcW w:w="10031" w:type="dxa"/>
            <w:gridSpan w:val="5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86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50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86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50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86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50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  <w:p w:rsidR="00EC337B" w:rsidRPr="00D84B7F" w:rsidRDefault="00EC337B" w:rsidP="00DD3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C337B" w:rsidRPr="00D84B7F" w:rsidRDefault="00EC337B" w:rsidP="00DD3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86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3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Інші процедури (уточнити)</w:t>
            </w:r>
          </w:p>
        </w:tc>
        <w:tc>
          <w:tcPr>
            <w:tcW w:w="2086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950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Разом, гривень</w:t>
            </w:r>
          </w:p>
        </w:tc>
        <w:tc>
          <w:tcPr>
            <w:tcW w:w="2086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83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950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7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Кількість суб’єктів господарювання, що повинні </w:t>
            </w: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виконати вимоги регулювання, одиниць</w:t>
            </w:r>
          </w:p>
        </w:tc>
        <w:tc>
          <w:tcPr>
            <w:tcW w:w="5875" w:type="dxa"/>
            <w:gridSpan w:val="3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8</w:t>
            </w:r>
          </w:p>
        </w:tc>
        <w:tc>
          <w:tcPr>
            <w:tcW w:w="3197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Сумарно, гривень</w:t>
            </w:r>
          </w:p>
        </w:tc>
        <w:tc>
          <w:tcPr>
            <w:tcW w:w="5875" w:type="dxa"/>
            <w:gridSpan w:val="3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 0.0 = 0,0 грн.</w:t>
            </w:r>
          </w:p>
        </w:tc>
      </w:tr>
      <w:tr w:rsidR="00EC337B" w:rsidRPr="00D84B7F" w:rsidTr="00DD318F">
        <w:tc>
          <w:tcPr>
            <w:tcW w:w="10031" w:type="dxa"/>
            <w:gridSpan w:val="5"/>
          </w:tcPr>
          <w:p w:rsidR="00EC337B" w:rsidRPr="00D84B7F" w:rsidRDefault="00EC337B" w:rsidP="00DD318F">
            <w:pPr>
              <w:tabs>
                <w:tab w:val="left" w:pos="16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EC337B" w:rsidRPr="00D84B7F" w:rsidTr="00DD318F">
        <w:tc>
          <w:tcPr>
            <w:tcW w:w="10031" w:type="dxa"/>
            <w:gridSpan w:val="5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вартості 1 людино-години: </w:t>
            </w: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 робочого часу на 2021 рік становить при40-годинному робочому тижні – 1994,0 години (Норми тривалості робочого часу на 2021 рік. Міністерство розвитку </w:t>
            </w:r>
            <w:proofErr w:type="spellStart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економіки,торгівлі</w:t>
            </w:r>
            <w:proofErr w:type="spellEnd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сільського господарства України лист від 12.08.2020 р. №3501-06/219).</w:t>
            </w: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Використовуємо для розрахунків мінімальний розмір заробітної плати.  Середній мінімальний щомісячний розмір заробітної плати на 01.01.2021 рік становить:6000 грн. та 36.11 у погодинному розмірі (Закон України «Про Державний бюджет України на 2021 рік»).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9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Процедури отримання первинної інформації про вимоги регулювання </w:t>
            </w: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uk-UA"/>
              </w:rPr>
              <w:t xml:space="preserve">Витрати часу на отримання інформації про регулювання (рішення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uk-UA"/>
              </w:rPr>
              <w:t xml:space="preserve">виконавчого комітету </w:t>
            </w:r>
            <w:r w:rsidRPr="00D84B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uk-UA"/>
              </w:rPr>
              <w:t>міської ради)</w:t>
            </w: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Оціночно</w:t>
            </w:r>
            <w:proofErr w:type="spellEnd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 години х 36,11 грн. =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9,03</w:t>
            </w: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Процедури організації виконання вимог регулювання</w:t>
            </w:r>
          </w:p>
          <w:tbl>
            <w:tblPr>
              <w:tblW w:w="444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6"/>
              <w:gridCol w:w="154"/>
            </w:tblGrid>
            <w:tr w:rsidR="00EC337B" w:rsidRPr="00D84B7F" w:rsidTr="00DD318F">
              <w:trPr>
                <w:trHeight w:val="15"/>
              </w:trPr>
              <w:tc>
                <w:tcPr>
                  <w:tcW w:w="48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C337B" w:rsidRPr="00D84B7F" w:rsidRDefault="00EC337B" w:rsidP="00DD318F">
                  <w:pPr>
                    <w:spacing w:after="0" w:line="15" w:lineRule="atLeast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uk-UA"/>
                    </w:rPr>
                  </w:pPr>
                  <w:r w:rsidRPr="00D84B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</w:t>
                  </w:r>
                </w:p>
              </w:tc>
              <w:tc>
                <w:tcPr>
                  <w:tcW w:w="1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C337B" w:rsidRPr="00D84B7F" w:rsidRDefault="00EC337B" w:rsidP="00DD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Оціночно</w:t>
            </w:r>
            <w:proofErr w:type="spellEnd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0.25годиних36,11грн.х12= =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108,33</w:t>
            </w: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11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офіційного звітування</w:t>
            </w:r>
          </w:p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-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12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-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13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процедури (уточнити)</w:t>
            </w: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14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Разом, гривень</w:t>
            </w: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(9,03+108,33)=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117,36</w:t>
            </w: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15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C337B" w:rsidRPr="00D84B7F" w:rsidRDefault="00EC337B" w:rsidP="00DD318F">
            <w:pPr>
              <w:tabs>
                <w:tab w:val="left" w:pos="1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13</w:t>
            </w:r>
          </w:p>
        </w:tc>
      </w:tr>
      <w:tr w:rsidR="00EC337B" w:rsidRPr="00D84B7F" w:rsidTr="00DD318F">
        <w:tc>
          <w:tcPr>
            <w:tcW w:w="959" w:type="dxa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16</w:t>
            </w:r>
          </w:p>
        </w:tc>
        <w:tc>
          <w:tcPr>
            <w:tcW w:w="5283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Сумарно, гривень</w:t>
            </w:r>
          </w:p>
        </w:tc>
        <w:tc>
          <w:tcPr>
            <w:tcW w:w="3789" w:type="dxa"/>
            <w:gridSpan w:val="2"/>
          </w:tcPr>
          <w:p w:rsidR="00EC337B" w:rsidRPr="00D84B7F" w:rsidRDefault="00EC337B" w:rsidP="00DD31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117,36 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1525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EC337B" w:rsidRPr="00D84B7F" w:rsidRDefault="00EC337B" w:rsidP="00EC337B">
      <w:pPr>
        <w:spacing w:after="0"/>
        <w:ind w:right="-425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C337B" w:rsidRPr="00D84B7F" w:rsidRDefault="00EC337B" w:rsidP="00EC337B">
      <w:pPr>
        <w:spacing w:after="0"/>
        <w:ind w:right="-425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84B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Бюджетні витрати на адміністрування регулювання суб’єктів малого підприємництва Державний орган, для якого здійснюється розрахунок вартості адміністрування регулювання Калуська міська рада.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1"/>
        <w:gridCol w:w="1124"/>
        <w:gridCol w:w="1477"/>
        <w:gridCol w:w="1278"/>
        <w:gridCol w:w="1377"/>
        <w:gridCol w:w="1746"/>
      </w:tblGrid>
      <w:tr w:rsidR="00EC337B" w:rsidRPr="00D84B7F" w:rsidTr="00DD318F">
        <w:trPr>
          <w:cantSplit/>
          <w:trHeight w:val="113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підприємництв</w:t>
            </w:r>
            <w:proofErr w:type="spellEnd"/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37B" w:rsidRPr="00D84B7F" w:rsidRDefault="00EC337B" w:rsidP="00DD318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Планові витрати часу на процедуру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37B" w:rsidRPr="00D84B7F" w:rsidRDefault="00EC337B" w:rsidP="00DD318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37B" w:rsidRPr="00D84B7F" w:rsidRDefault="00EC337B" w:rsidP="00DD318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337B" w:rsidRPr="00D84B7F" w:rsidRDefault="00EC337B" w:rsidP="00DD318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337B" w:rsidRPr="00D84B7F" w:rsidRDefault="00EC337B" w:rsidP="00DD318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Витрати на адміністрування регулювання* (за рік), гривень</w:t>
            </w:r>
          </w:p>
        </w:tc>
      </w:tr>
      <w:tr w:rsidR="00EC337B" w:rsidRPr="00D84B7F" w:rsidTr="00DD318F">
        <w:trPr>
          <w:trHeight w:val="120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 1,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36,11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 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469,4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Поточний контроль за суб’єктом господарювання, </w:t>
            </w: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що перебуває у сфері регулювання, у тому числі: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камеральні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виїзні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Підготовка, затвердження та опрацювання одного окремого </w:t>
            </w:r>
            <w:proofErr w:type="spellStart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акта</w:t>
            </w:r>
            <w:proofErr w:type="spellEnd"/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 порушення вимог регулювання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C337B" w:rsidRPr="00D84B7F" w:rsidTr="00DD318F">
        <w:trPr>
          <w:trHeight w:val="115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 Підготовка звітності за результатами регулювання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 1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 36,11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lang w:eastAsia="zh-CN"/>
              </w:rPr>
              <w:t> 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469,4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Разом за рік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2,0</w:t>
            </w:r>
            <w:r w:rsidRPr="00D84B7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lang w:eastAsia="zh-CN"/>
              </w:rPr>
              <w:t>36,11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B" w:rsidRPr="00D42C24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1877</w:t>
            </w:r>
            <w:r w:rsidRPr="00D42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</w:tr>
      <w:tr w:rsidR="00EC337B" w:rsidRPr="00D84B7F" w:rsidTr="00DD318F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Сумарно за  п</w:t>
            </w: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’</w:t>
            </w: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ять років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10.0</w:t>
            </w:r>
            <w:r w:rsidRPr="00D84B7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lang w:eastAsia="zh-CN"/>
              </w:rPr>
              <w:t>36,11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46943,00</w:t>
            </w:r>
          </w:p>
        </w:tc>
      </w:tr>
    </w:tbl>
    <w:p w:rsidR="00EC337B" w:rsidRPr="00D84B7F" w:rsidRDefault="00EC337B" w:rsidP="00EC337B">
      <w:pPr>
        <w:spacing w:after="0"/>
        <w:ind w:right="-425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C337B" w:rsidRPr="00D84B7F" w:rsidRDefault="00EC337B" w:rsidP="00EC33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567" w:firstLine="14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D84B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EC337B" w:rsidRPr="00D84B7F" w:rsidRDefault="00EC337B" w:rsidP="00EC337B">
      <w:pPr>
        <w:shd w:val="clear" w:color="auto" w:fill="FFFFFF"/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3558"/>
        <w:gridCol w:w="2492"/>
        <w:gridCol w:w="2371"/>
      </w:tblGrid>
      <w:tr w:rsidR="00EC337B" w:rsidRPr="00D84B7F" w:rsidTr="00DD318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Порядковий номер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Показник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Перший рік регулювання (стартовий)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За п</w:t>
            </w:r>
            <w:r w:rsidRPr="00D84B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’</w:t>
            </w:r>
            <w:r w:rsidRPr="00D84B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ять років</w:t>
            </w:r>
          </w:p>
        </w:tc>
      </w:tr>
      <w:tr w:rsidR="00EC337B" w:rsidRPr="00D84B7F" w:rsidTr="00DD318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 </w:t>
            </w:r>
          </w:p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дані рядка 8 пункту 3 цього додатка)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EC337B" w:rsidRPr="00D84B7F" w:rsidTr="00DD318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1525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(дані рядка 16 пункту 3 цього додатка)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7628,5 </w:t>
            </w:r>
            <w:r w:rsidRPr="00D84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грн.</w:t>
            </w:r>
          </w:p>
        </w:tc>
      </w:tr>
      <w:tr w:rsidR="00EC337B" w:rsidRPr="00D84B7F" w:rsidTr="00DD318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1525,7</w:t>
            </w:r>
            <w:r w:rsidRPr="00D84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грн.</w:t>
            </w:r>
          </w:p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(сума рядків 1 та 2 цієї таблиці)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7628</w:t>
            </w:r>
            <w:r w:rsidRPr="00D84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D84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грн.</w:t>
            </w:r>
          </w:p>
        </w:tc>
      </w:tr>
      <w:tr w:rsidR="00EC337B" w:rsidRPr="00D84B7F" w:rsidTr="00DD318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1877</w:t>
            </w:r>
            <w:r w:rsidRPr="00D42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 грн.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5526BE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9388,8 грн.</w:t>
            </w:r>
          </w:p>
        </w:tc>
      </w:tr>
      <w:tr w:rsidR="00EC337B" w:rsidRPr="00D84B7F" w:rsidTr="00DD318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B" w:rsidRPr="00D84B7F" w:rsidRDefault="00EC337B" w:rsidP="00DD318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8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Сумарні витрати на виконання</w:t>
            </w:r>
            <w:r w:rsidRPr="00D84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запланованого регулювання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3403,4 грн.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7B" w:rsidRPr="00D84B7F" w:rsidRDefault="00EC337B" w:rsidP="00DD318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17017,0 грн.</w:t>
            </w:r>
          </w:p>
        </w:tc>
      </w:tr>
    </w:tbl>
    <w:p w:rsidR="00EC337B" w:rsidRPr="00D84B7F" w:rsidRDefault="00EC337B" w:rsidP="00EC337B">
      <w:pPr>
        <w:shd w:val="clear" w:color="auto" w:fill="FFFFFF"/>
        <w:suppressAutoHyphens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337B" w:rsidRPr="00D84B7F" w:rsidRDefault="00EC337B" w:rsidP="00EC337B">
      <w:pPr>
        <w:shd w:val="clear" w:color="auto" w:fill="FFFFFF"/>
        <w:suppressAutoHyphens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337B" w:rsidRPr="00434320" w:rsidRDefault="00EC337B" w:rsidP="00AD3C72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337B" w:rsidRPr="00434320" w:rsidSect="006E7DB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C29"/>
    <w:multiLevelType w:val="hybridMultilevel"/>
    <w:tmpl w:val="9F287024"/>
    <w:lvl w:ilvl="0" w:tplc="DDFA71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22DD6"/>
    <w:multiLevelType w:val="multilevel"/>
    <w:tmpl w:val="482AD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21697"/>
    <w:multiLevelType w:val="multilevel"/>
    <w:tmpl w:val="C7DE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D3484"/>
    <w:multiLevelType w:val="hybridMultilevel"/>
    <w:tmpl w:val="38C082C0"/>
    <w:lvl w:ilvl="0" w:tplc="00B4508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B1041E"/>
    <w:multiLevelType w:val="multilevel"/>
    <w:tmpl w:val="289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A7"/>
    <w:rsid w:val="000D5AAA"/>
    <w:rsid w:val="00353448"/>
    <w:rsid w:val="003F5B05"/>
    <w:rsid w:val="00420680"/>
    <w:rsid w:val="00434320"/>
    <w:rsid w:val="00444673"/>
    <w:rsid w:val="00474B25"/>
    <w:rsid w:val="00492932"/>
    <w:rsid w:val="006E7DB7"/>
    <w:rsid w:val="006F39C3"/>
    <w:rsid w:val="007942D8"/>
    <w:rsid w:val="008129C6"/>
    <w:rsid w:val="00814A3C"/>
    <w:rsid w:val="008C03C1"/>
    <w:rsid w:val="008D5AEC"/>
    <w:rsid w:val="00927DA7"/>
    <w:rsid w:val="009D772B"/>
    <w:rsid w:val="00AD3C72"/>
    <w:rsid w:val="00AF7D8C"/>
    <w:rsid w:val="00DA4836"/>
    <w:rsid w:val="00DC39AE"/>
    <w:rsid w:val="00DD318F"/>
    <w:rsid w:val="00E559A6"/>
    <w:rsid w:val="00E66FCA"/>
    <w:rsid w:val="00E812C6"/>
    <w:rsid w:val="00E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5669"/>
  <w15:docId w15:val="{3E8C9549-FBB7-4C93-BE3D-76241BDC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D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6FCA"/>
    <w:rPr>
      <w:rFonts w:ascii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44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A4AB-8981-47E4-8667-A1C2D268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18867</Words>
  <Characters>10755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Ірина Святкович</cp:lastModifiedBy>
  <cp:revision>1</cp:revision>
  <dcterms:created xsi:type="dcterms:W3CDTF">2021-04-21T13:31:00Z</dcterms:created>
  <dcterms:modified xsi:type="dcterms:W3CDTF">2021-04-28T07:52:00Z</dcterms:modified>
</cp:coreProperties>
</file>