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08" w:rsidRPr="00CB33F3" w:rsidRDefault="00B26114" w:rsidP="00CB33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EB">
        <w:rPr>
          <w:rFonts w:ascii="Times New Roman" w:hAnsi="Times New Roman" w:cs="Times New Roman"/>
          <w:b/>
          <w:sz w:val="36"/>
          <w:szCs w:val="36"/>
        </w:rPr>
        <w:t xml:space="preserve">Інформація про проведену роботу управлінням </w:t>
      </w:r>
      <w:r>
        <w:rPr>
          <w:rFonts w:ascii="Times New Roman" w:hAnsi="Times New Roman" w:cs="Times New Roman"/>
          <w:b/>
          <w:sz w:val="36"/>
          <w:szCs w:val="36"/>
        </w:rPr>
        <w:t>архітектури та місто</w:t>
      </w:r>
      <w:r w:rsidR="00871C63">
        <w:rPr>
          <w:rFonts w:ascii="Times New Roman" w:hAnsi="Times New Roman" w:cs="Times New Roman"/>
          <w:b/>
          <w:sz w:val="36"/>
          <w:szCs w:val="36"/>
        </w:rPr>
        <w:t>будування міської ради за лютий</w:t>
      </w:r>
      <w:r>
        <w:rPr>
          <w:rFonts w:ascii="Times New Roman" w:hAnsi="Times New Roman" w:cs="Times New Roman"/>
          <w:b/>
          <w:sz w:val="36"/>
          <w:szCs w:val="36"/>
        </w:rPr>
        <w:t xml:space="preserve"> місяць</w:t>
      </w:r>
      <w:r w:rsidR="00E767DA">
        <w:rPr>
          <w:rFonts w:ascii="Times New Roman" w:hAnsi="Times New Roman" w:cs="Times New Roman"/>
          <w:b/>
          <w:sz w:val="36"/>
          <w:szCs w:val="36"/>
        </w:rPr>
        <w:t>:</w:t>
      </w:r>
    </w:p>
    <w:p w:rsidR="00CB33F3" w:rsidRDefault="00CB33F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26114">
        <w:rPr>
          <w:noProof/>
          <w:lang w:eastAsia="uk-UA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inline distT="0" distB="0" distL="0" distR="0" wp14:anchorId="10DD3C86" wp14:editId="1267A026">
            <wp:extent cx="6210300" cy="4410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6114" w:rsidRDefault="00B2611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drawing>
          <wp:inline distT="0" distB="0" distL="0" distR="0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E767DA" w:rsidRDefault="00E767DA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381750" cy="3819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2C06" w:rsidRDefault="00FB4912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51A8" w:rsidRPr="00B26114" w:rsidRDefault="0032769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A51A8" w:rsidRPr="00B26114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0"/>
    <w:rsid w:val="000270A1"/>
    <w:rsid w:val="001339AE"/>
    <w:rsid w:val="00163B37"/>
    <w:rsid w:val="001C6D2C"/>
    <w:rsid w:val="00327697"/>
    <w:rsid w:val="005A11C5"/>
    <w:rsid w:val="007D5289"/>
    <w:rsid w:val="00871C63"/>
    <w:rsid w:val="00AB3577"/>
    <w:rsid w:val="00AE13B0"/>
    <w:rsid w:val="00B26114"/>
    <w:rsid w:val="00B84208"/>
    <w:rsid w:val="00BA51A8"/>
    <w:rsid w:val="00CB33F3"/>
    <w:rsid w:val="00D92C06"/>
    <w:rsid w:val="00E767DA"/>
    <w:rsid w:val="00F116F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2DD1-48E7-46A8-9D57-2569570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</c:v>
                </c:pt>
                <c:pt idx="1">
                  <c:v>5</c:v>
                </c:pt>
                <c:pt idx="2">
                  <c:v>8</c:v>
                </c:pt>
                <c:pt idx="3">
                  <c:v>16</c:v>
                </c:pt>
                <c:pt idx="4">
                  <c:v>13</c:v>
                </c:pt>
                <c:pt idx="5">
                  <c:v>15</c:v>
                </c:pt>
                <c:pt idx="6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A-4BB7-A7A4-48330DA88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83</c:v>
                </c:pt>
                <c:pt idx="1">
                  <c:v>11</c:v>
                </c:pt>
                <c:pt idx="2">
                  <c:v>6</c:v>
                </c:pt>
                <c:pt idx="3">
                  <c:v>11</c:v>
                </c:pt>
                <c:pt idx="4">
                  <c:v>56</c:v>
                </c:pt>
                <c:pt idx="5">
                  <c:v>12</c:v>
                </c:pt>
                <c:pt idx="6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A-4BB7-A7A4-48330DA888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4EC-4D3E-9E95-84C4008109B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E6E-49DF-963F-AB1C25B0141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E6E-49DF-963F-AB1C25B0141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E6E-49DF-963F-AB1C25B014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C-4D3E-9E95-84C4008109B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Кількість прийнятих рішень управлінням за лютий</a:t>
            </a:r>
            <a:r>
              <a:rPr lang="uk-UA" baseline="0"/>
              <a:t> </a:t>
            </a:r>
            <a:r>
              <a:rPr lang="uk-UA"/>
              <a:t>2021 рік у порівнянні з лютим 2020 року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B34-4B1C-BA9B-7F532D13C04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B34-4B1C-BA9B-7F532D13C0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8-4273-880E-D93DABEAEC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048-4273-880E-D93DABEAE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2927304"/>
        <c:axId val="3528672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48-4273-880E-D93DABEAE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5048400"/>
        <c:axId val="385048072"/>
      </c:lineChart>
      <c:catAx>
        <c:axId val="35292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valAx>
        <c:axId val="38504807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5048400"/>
        <c:crosses val="max"/>
        <c:crossBetween val="between"/>
      </c:valAx>
      <c:catAx>
        <c:axId val="3850484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50480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2-49DD-B7AD-119F6B267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B72-49DD-B7AD-119F6B267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99-4B78-B360-5C300B36F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виданих дозвільних документів управління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6-41AC-83D3-535F03B5AD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23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C6-41AC-83D3-535F03B5AD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2C6-41AC-83D3-535F03B5AD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привязок на тимчасових  споруд 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D-4276-BBCB-002884F0A4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9D-4276-BBCB-002884F0A4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B9D-4276-BBCB-002884F0A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6C1B-65A6-43EE-B8ED-B5BF1C8A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Тетяна Микитин</cp:lastModifiedBy>
  <cp:revision>8</cp:revision>
  <dcterms:created xsi:type="dcterms:W3CDTF">2021-02-05T11:19:00Z</dcterms:created>
  <dcterms:modified xsi:type="dcterms:W3CDTF">2021-04-20T12:37:00Z</dcterms:modified>
</cp:coreProperties>
</file>