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E7" w:rsidRPr="001562E7" w:rsidRDefault="001562E7" w:rsidP="00B505B6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562E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1562E7" w:rsidRPr="001562E7" w:rsidRDefault="001562E7" w:rsidP="001562E7">
      <w:pPr>
        <w:ind w:left="920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62E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562E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62E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 рішення виконавчого </w:t>
      </w:r>
    </w:p>
    <w:p w:rsidR="001562E7" w:rsidRDefault="001562E7" w:rsidP="001562E7">
      <w:pPr>
        <w:ind w:left="9204"/>
        <w:rPr>
          <w:rFonts w:ascii="Times New Roman" w:hAnsi="Times New Roman" w:cs="Times New Roman"/>
          <w:sz w:val="28"/>
          <w:szCs w:val="28"/>
          <w:lang w:val="uk-UA"/>
        </w:rPr>
      </w:pPr>
      <w:r w:rsidRPr="001562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2E7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</w:p>
    <w:p w:rsidR="001562E7" w:rsidRDefault="001562E7" w:rsidP="001562E7">
      <w:pPr>
        <w:ind w:left="920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від «_____</w:t>
      </w:r>
      <w:r w:rsidR="00320DBB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20DB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1562E7" w:rsidRDefault="001562E7" w:rsidP="00B505B6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2E7" w:rsidRDefault="001562E7" w:rsidP="00B505B6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ЗАХОДИ </w:t>
      </w:r>
    </w:p>
    <w:p w:rsidR="00B505B6" w:rsidRPr="00B505B6" w:rsidRDefault="001562E7" w:rsidP="001562E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виконання обов’язків старост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округів Калуської міської територіальної громади</w:t>
      </w:r>
      <w:r w:rsidR="00B50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відповідності до </w:t>
      </w:r>
      <w:r w:rsidR="00B505B6" w:rsidRPr="001562E7">
        <w:rPr>
          <w:rFonts w:ascii="Times New Roman" w:hAnsi="Times New Roman"/>
          <w:b/>
          <w:sz w:val="28"/>
          <w:szCs w:val="28"/>
          <w:lang w:val="uk-UA"/>
        </w:rPr>
        <w:t>ПОРЯДК</w:t>
      </w:r>
      <w:r w:rsidR="00B505B6">
        <w:rPr>
          <w:rFonts w:ascii="Times New Roman" w:hAnsi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505B6" w:rsidRPr="001562E7">
        <w:rPr>
          <w:rFonts w:ascii="Times New Roman" w:hAnsi="Times New Roman"/>
          <w:b/>
          <w:sz w:val="28"/>
          <w:szCs w:val="28"/>
          <w:lang w:val="uk-UA"/>
        </w:rPr>
        <w:t>організації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ведення військового обліку </w:t>
      </w:r>
      <w:r w:rsidR="00B505B6" w:rsidRPr="001562E7">
        <w:rPr>
          <w:rFonts w:ascii="Times New Roman" w:hAnsi="Times New Roman"/>
          <w:b/>
          <w:sz w:val="28"/>
          <w:szCs w:val="28"/>
          <w:lang w:val="uk-UA"/>
        </w:rPr>
        <w:t>призовників, військовозобов’язаних та резервістів</w:t>
      </w:r>
      <w:r w:rsidR="00B505B6">
        <w:rPr>
          <w:rFonts w:ascii="Times New Roman" w:hAnsi="Times New Roman"/>
          <w:b/>
          <w:sz w:val="28"/>
          <w:szCs w:val="28"/>
          <w:lang w:val="uk-UA"/>
        </w:rPr>
        <w:t>, затвердженого постановою КМУ</w:t>
      </w:r>
      <w:r w:rsidR="00B505B6" w:rsidRPr="001562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5B6" w:rsidRPr="001562E7">
        <w:rPr>
          <w:rFonts w:ascii="Times New Roman" w:hAnsi="Times New Roman"/>
          <w:b/>
          <w:sz w:val="28"/>
          <w:szCs w:val="28"/>
          <w:lang w:val="uk-UA"/>
        </w:rPr>
        <w:t xml:space="preserve">від 30 грудня 2022 р. № 1487 </w:t>
      </w:r>
    </w:p>
    <w:p w:rsidR="00A80F0B" w:rsidRPr="001562E7" w:rsidRDefault="00A80F0B" w:rsidP="001562E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505B6" w:rsidRPr="00B505B6" w:rsidRDefault="00B505B6" w:rsidP="00B505B6">
      <w:pPr>
        <w:pStyle w:val="ac"/>
        <w:rPr>
          <w:rFonts w:hint="eastAsia"/>
          <w:b/>
        </w:rPr>
      </w:pPr>
    </w:p>
    <w:tbl>
      <w:tblPr>
        <w:tblW w:w="14680" w:type="dxa"/>
        <w:tblInd w:w="-113" w:type="dxa"/>
        <w:tblLayout w:type="fixed"/>
        <w:tblLook w:val="04A0"/>
      </w:tblPr>
      <w:tblGrid>
        <w:gridCol w:w="982"/>
        <w:gridCol w:w="9729"/>
        <w:gridCol w:w="2410"/>
        <w:gridCol w:w="1559"/>
      </w:tblGrid>
      <w:tr w:rsidR="00B505B6" w:rsidTr="000E3C1A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6" w:rsidRDefault="00B505B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6" w:rsidRDefault="00B505B6" w:rsidP="00156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Зміст </w:t>
            </w:r>
            <w:r w:rsidR="001562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6" w:rsidRDefault="00B505B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B6" w:rsidRDefault="000E3C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B505B6" w:rsidTr="000E3C1A">
        <w:trPr>
          <w:trHeight w:val="73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Default="00B50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B505B6" w:rsidRDefault="00B50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05B6" w:rsidRDefault="00B50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Default="00B505B6" w:rsidP="00B505B6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Взяття на персонально-первинний військовий облік громадян, які прибули на нове місце проживання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proofErr w:type="spellStart"/>
            <w:r w:rsidR="000E3C1A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 w:rsidR="000E3C1A">
              <w:rPr>
                <w:rFonts w:ascii="Times New Roman" w:hAnsi="Times New Roman"/>
                <w:sz w:val="28"/>
                <w:szCs w:val="28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тільки після взяття їх на військовий облік у </w:t>
            </w:r>
            <w:r w:rsidR="000E3C1A">
              <w:rPr>
                <w:rFonts w:ascii="Times New Roman" w:hAnsi="Times New Roman"/>
                <w:sz w:val="28"/>
                <w:szCs w:val="28"/>
              </w:rPr>
              <w:t>Калуському</w:t>
            </w:r>
            <w:r w:rsidR="00320DBB">
              <w:rPr>
                <w:rFonts w:ascii="Times New Roman" w:hAnsi="Times New Roman"/>
                <w:sz w:val="28"/>
                <w:szCs w:val="28"/>
              </w:rPr>
              <w:t xml:space="preserve"> районному територіальному центрі комплект</w:t>
            </w:r>
            <w:r w:rsidR="00320DBB">
              <w:rPr>
                <w:rFonts w:ascii="Times New Roman" w:hAnsi="Times New Roman"/>
                <w:sz w:val="28"/>
                <w:szCs w:val="28"/>
              </w:rPr>
              <w:t>у</w:t>
            </w:r>
            <w:r w:rsidR="00320DBB">
              <w:rPr>
                <w:rFonts w:ascii="Times New Roman" w:hAnsi="Times New Roman"/>
                <w:sz w:val="28"/>
                <w:szCs w:val="28"/>
              </w:rPr>
              <w:t>вання та соціальної підтримки (далі – Калуський</w:t>
            </w:r>
            <w:r w:rsidR="000E3C1A">
              <w:rPr>
                <w:rFonts w:ascii="Times New Roman" w:hAnsi="Times New Roman"/>
                <w:sz w:val="28"/>
                <w:szCs w:val="28"/>
              </w:rPr>
              <w:t xml:space="preserve"> РТЦК</w:t>
            </w:r>
            <w:r w:rsidR="00320DBB">
              <w:rPr>
                <w:rFonts w:ascii="Times New Roman" w:hAnsi="Times New Roman"/>
                <w:sz w:val="28"/>
                <w:szCs w:val="28"/>
              </w:rPr>
              <w:t>)</w:t>
            </w:r>
            <w:r w:rsidR="000E3C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05B6" w:rsidRDefault="00B50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Pr="00D03C81" w:rsidRDefault="000E3C1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B505B6" w:rsidRPr="00D03C81" w:rsidRDefault="00B505B6">
            <w:pPr>
              <w:rPr>
                <w:rFonts w:ascii="Times New Roman" w:hAnsi="Times New Roman" w:cs="Times New Roman"/>
                <w:strike/>
              </w:rPr>
            </w:pPr>
          </w:p>
          <w:p w:rsidR="00B505B6" w:rsidRPr="00D03C81" w:rsidRDefault="00B505B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Default="00B50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05B6" w:rsidRDefault="00B505B6">
            <w:pPr>
              <w:rPr>
                <w:rFonts w:ascii="Times New Roman" w:hAnsi="Times New Roman" w:cs="Times New Roman"/>
              </w:rPr>
            </w:pPr>
          </w:p>
          <w:p w:rsidR="00B505B6" w:rsidRDefault="00B505B6">
            <w:pPr>
              <w:rPr>
                <w:rFonts w:ascii="Times New Roman" w:hAnsi="Times New Roman" w:cs="Times New Roman"/>
              </w:rPr>
            </w:pPr>
          </w:p>
        </w:tc>
      </w:tr>
      <w:tr w:rsidR="00B505B6" w:rsidTr="000E3C1A">
        <w:trPr>
          <w:trHeight w:val="1035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Default="00B50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B505B6" w:rsidRDefault="00B50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05B6" w:rsidRDefault="00B505B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Pr="000E3C1A" w:rsidRDefault="000E3C1A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0E3C1A">
              <w:rPr>
                <w:rFonts w:ascii="Times New Roman" w:hAnsi="Times New Roman"/>
                <w:sz w:val="28"/>
                <w:szCs w:val="28"/>
                <w:lang w:val="uk-UA"/>
              </w:rPr>
              <w:t>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Калуському РТЦК, облікових органах СБУ, підрозділах Служби зовнішньої розвідки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Pr="000E3C1A" w:rsidRDefault="00B505B6">
            <w:pPr>
              <w:rPr>
                <w:rFonts w:ascii="Times New Roman" w:hAnsi="Times New Roman" w:cs="Times New Roman"/>
                <w:lang w:val="uk-UA"/>
              </w:rPr>
            </w:pPr>
          </w:p>
          <w:p w:rsidR="000E3C1A" w:rsidRPr="00D03C81" w:rsidRDefault="000E3C1A" w:rsidP="000E3C1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B505B6" w:rsidRPr="00D03C81" w:rsidRDefault="00B505B6">
            <w:pPr>
              <w:rPr>
                <w:rFonts w:ascii="Times New Roman" w:hAnsi="Times New Roman" w:cs="Times New Roman"/>
              </w:rPr>
            </w:pPr>
          </w:p>
          <w:p w:rsidR="00B505B6" w:rsidRPr="00D03C81" w:rsidRDefault="00B505B6" w:rsidP="00CB29B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Default="00B505B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05B6" w:rsidTr="000E3C1A">
        <w:trPr>
          <w:trHeight w:val="1615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Default="00B505B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Default="000E3C1A" w:rsidP="000E3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0E3C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иявлення призовників, військовозобов’язаних та резервістів, які проживають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 w:rsidRPr="000E3C1A">
              <w:rPr>
                <w:rFonts w:ascii="Times New Roman" w:hAnsi="Times New Roman"/>
                <w:sz w:val="28"/>
                <w:szCs w:val="28"/>
                <w:lang w:val="uk-UA"/>
              </w:rPr>
              <w:t>, і не перебувають в них на персонально-первинному військовому обліку, направлення таких громадян до Калусько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E3C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РТЦК, облікових органах СБУ, підрозділах Служби зовнішньої розвідки для взяття на військовий облік, взяття призовників, військовозобов’язаних та резервістів на персонально-первинний військовий облік</w:t>
            </w:r>
            <w:r w:rsidR="00B5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E49F7" w:rsidRDefault="008E49F7" w:rsidP="000E3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Pr="00D03C81" w:rsidRDefault="00B505B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0E3C1A" w:rsidRPr="00D03C81" w:rsidRDefault="000E3C1A" w:rsidP="000E3C1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B505B6" w:rsidRPr="00D03C81" w:rsidRDefault="00B505B6" w:rsidP="00CB2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5B6" w:rsidRDefault="00B505B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3C1A" w:rsidTr="000E3C1A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C1A" w:rsidRDefault="000E3C1A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C1A" w:rsidRPr="000E3C1A" w:rsidRDefault="000E3C1A" w:rsidP="000E3C1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едення карток первинного обліку призовників, військовозобов’язаних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резервістів, які проживають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C1A" w:rsidRPr="00D03C81" w:rsidRDefault="000E3C1A" w:rsidP="000E3C1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0E3C1A" w:rsidRPr="00D03C81" w:rsidRDefault="000E3C1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C1A" w:rsidRDefault="000E3C1A" w:rsidP="00320D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(додаток 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E3C1A" w:rsidRPr="000E3C1A" w:rsidTr="008E49F7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C1A" w:rsidRDefault="000E3C1A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C1A" w:rsidRPr="000E3C1A" w:rsidRDefault="008E49F7" w:rsidP="000E3C1A">
            <w:pP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0E3C1A" w:rsidRPr="000E3C1A">
              <w:rPr>
                <w:rFonts w:ascii="Times New Roman" w:hAnsi="Times New Roman"/>
                <w:sz w:val="28"/>
                <w:szCs w:val="28"/>
                <w:lang w:val="uk-UA"/>
              </w:rPr>
              <w:t>роведення відповідної роз’яснювальної роботи серед призовників, військовозобов’язаних та резервістів щодо виконання ними правил військового обліку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Pr="00D03C81" w:rsidRDefault="008E49F7" w:rsidP="008E49F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0E3C1A" w:rsidRDefault="000E3C1A" w:rsidP="000E3C1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C1A" w:rsidRDefault="008E49F7" w:rsidP="008E49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до 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E49F7" w:rsidRPr="000E3C1A" w:rsidTr="008E49F7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8E49F7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Інформування у семиденний строк Калуський РТЦК, облікових органах СБУ, підрозділах Служби зовнішньої розвідки про призовників, військовоз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бов’язаних та резервістів, які:</w:t>
            </w:r>
          </w:p>
          <w:p w:rsidR="008E49F7" w:rsidRDefault="008E49F7" w:rsidP="008E49F7">
            <w:pPr>
              <w:pStyle w:val="af0"/>
              <w:keepNext/>
              <w:numPr>
                <w:ilvl w:val="0"/>
                <w:numId w:val="2"/>
              </w:num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прибули для проживання з адміністративно-територіальних од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ниць, що обслуговуються іншими виконавчими органами сільських, селищних, міських рад, без зняття з військового (персонально-первинного військового) обліку за задекларованим/зареєстрованим місцем проживання;</w:t>
            </w:r>
          </w:p>
          <w:p w:rsidR="008E49F7" w:rsidRDefault="008E49F7" w:rsidP="008E49F7">
            <w:pPr>
              <w:pStyle w:val="af0"/>
              <w:keepNext/>
              <w:numPr>
                <w:ilvl w:val="0"/>
                <w:numId w:val="2"/>
              </w:num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вибули до нового місця проживання за межі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гу без зняття з військового (персонально-первинного) обліку.</w:t>
            </w:r>
          </w:p>
          <w:p w:rsidR="008E49F7" w:rsidRPr="000E3C1A" w:rsidRDefault="008E49F7" w:rsidP="000E3C1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Pr="00D03C81" w:rsidRDefault="008E49F7" w:rsidP="008E49F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8E49F7" w:rsidRDefault="008E49F7" w:rsidP="008E49F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8E4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9F7" w:rsidRPr="000E3C1A" w:rsidTr="008E49F7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8E49F7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Оповіщення на вимогу Калуський РТЦК, органів СБУ, підрозділів Служби 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внішньої розвідки призовників, військовозобов’язаних та резервістів про їх виклик до Калуського РТЦК, органів СБУ, підрозділів Служби зовнішньої 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звідки і забезпечення їх своєчасного прибуття.</w:t>
            </w:r>
          </w:p>
          <w:p w:rsidR="008E49F7" w:rsidRDefault="008E49F7" w:rsidP="008E49F7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Pr="00D03C81" w:rsidRDefault="008E49F7" w:rsidP="008E49F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8E49F7" w:rsidRDefault="008E49F7" w:rsidP="008E49F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Pr="008E49F7" w:rsidRDefault="008E49F7" w:rsidP="008E49F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49F7" w:rsidRPr="000E3C1A" w:rsidTr="008E49F7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8E49F7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Забезпечити взаємодію з Калуський РТЦК, органами СБУ, підрозділами Сл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жби зовнішньої розвідки щодо здійснення спільних заходів в галузі оборонної роботи, строків та способів звіряння даних карток первинного обліку призо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ників, військовозобов’язаних та резервістів (далі — картки первинного обл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>ку), внесення відповідних змін до них, а також щодо оповіщення призовників, військовозобов’язаних та резервістів.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Pr="00D03C81" w:rsidRDefault="008E49F7" w:rsidP="008E49F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8E49F7" w:rsidRDefault="008E49F7" w:rsidP="008E49F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Pr="008E49F7" w:rsidRDefault="008E49F7" w:rsidP="008E49F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49F7" w:rsidRPr="000E3C1A" w:rsidTr="00BF1D9F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Default="008E49F7" w:rsidP="008E49F7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Забезпечити подання до Калуський РТЦК, органів СБУ, підрозділів Служби зовнішньої розвідки на їх вимогу відомостей щодо призовників, військовоз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бов’язаних та резервістів, ві</w:t>
            </w:r>
            <w:r w:rsidR="00BF1D9F">
              <w:rPr>
                <w:rFonts w:ascii="Times New Roman" w:hAnsi="Times New Roman"/>
                <w:sz w:val="28"/>
                <w:szCs w:val="28"/>
              </w:rPr>
              <w:t>йськовий облік яких вони ведуть.</w:t>
            </w:r>
          </w:p>
          <w:p w:rsidR="008E49F7" w:rsidRDefault="008E49F7" w:rsidP="008E49F7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Pr="00D03C81" w:rsidRDefault="00BF1D9F" w:rsidP="00BF1D9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8E49F7" w:rsidRDefault="008E49F7" w:rsidP="008E49F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9F7" w:rsidRPr="008E49F7" w:rsidRDefault="008E49F7" w:rsidP="008E49F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D9F" w:rsidRPr="000E3C1A" w:rsidTr="00BF1D9F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BF1D9F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Внесення у п’ятиденний строк з дня подання відповідних документів змін до карток первинного обліку призовників щодо їх прізвища, власного імені та по батькові (за наявності), реквізитів паспорта громадянина України, адреси зад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кларованого/зареєстрованого місця проживання, сімейного стану, освіти, мі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ця роботи і посади та надсилання щомісяця до 5 числа до Калуського РТЦК, органів СБУ, підрозділів Служби зовнішньої розвідки повідомлень про зміну облікових даних.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Pr="00D03C81" w:rsidRDefault="00BF1D9F" w:rsidP="00BF1D9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BF1D9F" w:rsidRDefault="00BF1D9F" w:rsidP="00BF1D9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Pr="008E49F7" w:rsidRDefault="00BF1D9F" w:rsidP="00BF1D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до 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F1D9F" w:rsidRPr="000E3C1A" w:rsidTr="00BF1D9F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BF1D9F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Звіряння не рідше одного разу на рік облікових даних карток первинного обл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>ку призовників, військовозобов’язаних та резервістів, які перебувають на пе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сонально-первинному військовому обліку:</w:t>
            </w:r>
          </w:p>
          <w:p w:rsidR="00BF1D9F" w:rsidRDefault="00BF1D9F" w:rsidP="00BF1D9F">
            <w:pPr>
              <w:pStyle w:val="af0"/>
              <w:keepNext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обліковими даними, що містяться у списках персонального війс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кового обліку призовників, військовозобов’язаних та резервістів п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>дприємств, установ та організацій, в яких вони працюють (навч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ються), що перебувають на території с/о;</w:t>
            </w:r>
          </w:p>
          <w:p w:rsidR="00BF1D9F" w:rsidRDefault="00BF1D9F" w:rsidP="00BF1D9F">
            <w:pPr>
              <w:pStyle w:val="af0"/>
              <w:keepNext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 документами щодо реєстрації місця проживання фізичних осіб або з відображенням в електронній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формі інформації, що міститься в таких документах, які можуть пред’являтися (надаватися) з викор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станням мобільного додатка Порталу Дія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1D9F" w:rsidRDefault="00BF1D9F" w:rsidP="00BF1D9F">
            <w:pPr>
              <w:pStyle w:val="af0"/>
              <w:keepNext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з місцем фактичного проживання призовників, військовозобов’язаних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резервістів.</w:t>
            </w:r>
          </w:p>
          <w:p w:rsidR="00BF1D9F" w:rsidRDefault="00BF1D9F" w:rsidP="00BF1D9F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Pr="00D03C81" w:rsidRDefault="003643AB" w:rsidP="00BF1D9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Раз на рік за окремими графіками, затвердженими розпорядженням міського голови </w:t>
            </w:r>
          </w:p>
          <w:p w:rsidR="00BF1D9F" w:rsidRDefault="00BF1D9F" w:rsidP="00BF1D9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BF1D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D9F" w:rsidRDefault="00BF1D9F" w:rsidP="00BF1D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D9F" w:rsidRDefault="00BF1D9F" w:rsidP="00BF1D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D9F" w:rsidRDefault="00BF1D9F" w:rsidP="00BF1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до 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F1D9F" w:rsidRPr="000E3C1A" w:rsidTr="00BF1D9F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BF1D9F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Звіряння не рідше одного разу на рік облікових даних карток первинного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>ку призовників, які перебувають на персонально-первинному військовому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ліку у с/о, з обліковими даними Калуського РТЦК (звіряння облікових даних карток первинного обліку призовників здійснюється після приписки громадян до призовних дільниць і перед призовом їх на строкову військову службу, а також в інші строки, визначені Калуського РТЦК).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DBB" w:rsidRPr="00D03C81" w:rsidRDefault="00320DBB" w:rsidP="00320DB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Раз на рік за окремими графіками, затвердженими розпорядженням міського голови </w:t>
            </w:r>
          </w:p>
          <w:p w:rsidR="00BF1D9F" w:rsidRDefault="00BF1D9F" w:rsidP="00BF1D9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BF1D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D9F" w:rsidRPr="000E3C1A" w:rsidTr="00532F76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532F76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Складення і подання</w:t>
            </w:r>
            <w:r w:rsidR="00532F76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F76">
              <w:rPr>
                <w:rFonts w:ascii="Times New Roman" w:hAnsi="Times New Roman"/>
                <w:sz w:val="28"/>
                <w:szCs w:val="28"/>
              </w:rPr>
              <w:t xml:space="preserve">Калуського РТЦК </w:t>
            </w:r>
            <w:r>
              <w:rPr>
                <w:rFonts w:ascii="Times New Roman" w:hAnsi="Times New Roman"/>
                <w:sz w:val="28"/>
                <w:szCs w:val="28"/>
              </w:rPr>
              <w:t>списків громадян, які підлягають приписці до призовних дільниць</w:t>
            </w:r>
            <w:r w:rsidR="00532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BF1D9F" w:rsidP="00BF1D9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Щорічно до 1 грудня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D9F" w:rsidRDefault="00532F76" w:rsidP="00532F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до 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32F76" w:rsidRPr="000E3C1A" w:rsidTr="00532F76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532F76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Приймання від призовників, військовозобов’язаних та резервістів під розписку у бланках розписок їх військово-облікових документів для звіряння з картками первинного обліку.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Pr="00D03C81" w:rsidRDefault="00532F76" w:rsidP="00532F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532F76" w:rsidRDefault="00532F76" w:rsidP="00BF1D9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Pr="00532F76" w:rsidRDefault="00532F76" w:rsidP="00532F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до 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32F76" w:rsidRPr="000E3C1A" w:rsidTr="00532F76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532F76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Здійснення постійного контролю за виконанням посадовими особами підпр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ємств, установ та організацій, які розташовані на території с/о, вимог Порядку, а призовниками, військовозобов’язаними та резервістами — правил військов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обліку.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Pr="00D03C81" w:rsidRDefault="00532F76" w:rsidP="00532F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532F76" w:rsidRDefault="00532F76" w:rsidP="00532F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Pr="00532F76" w:rsidRDefault="00532F76" w:rsidP="00532F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до 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32F76" w:rsidRPr="000E3C1A" w:rsidTr="00532F76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532F76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інформування Калуського РТЦК, органів СБУ, підрозділів Сл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жби зовнішньої розвідки про посадових осіб підприємств, установ та організ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цій, які порушують вимоги Порядку, а також про громадян, які порушують правила військового обліку, для притягнення винних до відповідальності згі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 із законом.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Pr="00D03C81" w:rsidRDefault="00532F76" w:rsidP="00532F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  <w:p w:rsidR="00532F76" w:rsidRDefault="00532F76" w:rsidP="00532F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Pr="00532F76" w:rsidRDefault="00532F76" w:rsidP="00532F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2F76" w:rsidRPr="000E3C1A" w:rsidTr="00532F76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532F76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інформування Калуського РТЦК про державну реєстрацію утв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рення, припинення підприємств, установ та організацій, які розташовані на 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риторії с/о.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Default="00532F76" w:rsidP="00532F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щомісяця до 5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F76" w:rsidRPr="00532F76" w:rsidRDefault="00532F76" w:rsidP="00532F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до 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32F76" w:rsidRPr="000E3C1A" w:rsidTr="000E3C1A">
        <w:trPr>
          <w:trHeight w:val="1171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76" w:rsidRDefault="00532F76" w:rsidP="00CB29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76" w:rsidRDefault="00532F76" w:rsidP="00532F76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Ведення та зберігання журналу обліку результатів перевірки стану військового обліку, звіряння їх облікових даних з даними Калуського РТЦК, органів СБУ, підрозділів Служби зовнішньої розвідки.</w:t>
            </w:r>
          </w:p>
          <w:p w:rsidR="00532F76" w:rsidRDefault="00532F76" w:rsidP="00320DBB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(Журнал обліку результатів перевірки стану військового обліку після закі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чення зберігається протягом семи років).</w:t>
            </w:r>
          </w:p>
          <w:p w:rsidR="00532F76" w:rsidRDefault="00532F76" w:rsidP="00532F76">
            <w:pPr>
              <w:pStyle w:val="af0"/>
              <w:keepNext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76" w:rsidRPr="00532F76" w:rsidRDefault="00532F76" w:rsidP="00532F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76" w:rsidRPr="00532F76" w:rsidRDefault="00532F76" w:rsidP="00532F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(додаток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 </w:t>
            </w:r>
            <w:r w:rsidR="00320DBB">
              <w:rPr>
                <w:rFonts w:ascii="Times New Roman" w:hAnsi="Times New Roman"/>
                <w:sz w:val="28"/>
                <w:szCs w:val="28"/>
                <w:lang w:val="uk-UA"/>
              </w:rPr>
              <w:t>до Порядку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A80F0B" w:rsidRDefault="00A80F0B">
      <w:pP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320DBB" w:rsidRDefault="00320DBB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20DBB" w:rsidRPr="00320DBB" w:rsidRDefault="00320DBB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</w:t>
      </w:r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Надія </w:t>
      </w:r>
      <w:proofErr w:type="spellStart"/>
      <w:r w:rsidRPr="00320DBB">
        <w:rPr>
          <w:rFonts w:ascii="Times New Roman" w:hAnsi="Times New Roman" w:cs="Times New Roman"/>
          <w:bCs/>
          <w:sz w:val="28"/>
          <w:szCs w:val="28"/>
          <w:lang w:val="uk-UA"/>
        </w:rPr>
        <w:t>ГУШ</w:t>
      </w:r>
      <w:proofErr w:type="spellEnd"/>
    </w:p>
    <w:sectPr w:rsidR="00320DBB" w:rsidRPr="00320DBB" w:rsidSect="00A80F0B">
      <w:pgSz w:w="16838" w:h="11906" w:orient="landscape"/>
      <w:pgMar w:top="709" w:right="1134" w:bottom="709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Drakkar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687A"/>
    <w:multiLevelType w:val="hybridMultilevel"/>
    <w:tmpl w:val="FFEEF8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0C5D71"/>
    <w:multiLevelType w:val="hybridMultilevel"/>
    <w:tmpl w:val="DD5A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D5542"/>
    <w:multiLevelType w:val="hybridMultilevel"/>
    <w:tmpl w:val="2E028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3D1CD9"/>
    <w:multiLevelType w:val="hybridMultilevel"/>
    <w:tmpl w:val="22883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25651D0"/>
    <w:multiLevelType w:val="hybridMultilevel"/>
    <w:tmpl w:val="E912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620BF"/>
    <w:multiLevelType w:val="hybridMultilevel"/>
    <w:tmpl w:val="E912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80F0B"/>
    <w:rsid w:val="00010B43"/>
    <w:rsid w:val="000E3C1A"/>
    <w:rsid w:val="001562E7"/>
    <w:rsid w:val="001A633C"/>
    <w:rsid w:val="00320DBB"/>
    <w:rsid w:val="003643AB"/>
    <w:rsid w:val="003C2E87"/>
    <w:rsid w:val="00531515"/>
    <w:rsid w:val="00532F76"/>
    <w:rsid w:val="00701D6A"/>
    <w:rsid w:val="00850DEB"/>
    <w:rsid w:val="00883D57"/>
    <w:rsid w:val="008E49F7"/>
    <w:rsid w:val="009E3288"/>
    <w:rsid w:val="00A13CA0"/>
    <w:rsid w:val="00A80F0B"/>
    <w:rsid w:val="00B362F8"/>
    <w:rsid w:val="00B505B6"/>
    <w:rsid w:val="00BF1D9F"/>
    <w:rsid w:val="00CB29BA"/>
    <w:rsid w:val="00D03C81"/>
    <w:rsid w:val="00D1642C"/>
    <w:rsid w:val="00D55C91"/>
    <w:rsid w:val="00E74904"/>
    <w:rsid w:val="00EB7D4A"/>
    <w:rsid w:val="00F96A6F"/>
    <w:rsid w:val="00FF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0B"/>
    <w:pPr>
      <w:widowControl w:val="0"/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A80F0B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sid w:val="00A80F0B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a4">
    <w:name w:val="Гіперпосилання"/>
    <w:basedOn w:val="a0"/>
    <w:rsid w:val="00A80F0B"/>
    <w:rPr>
      <w:color w:val="0066CC"/>
      <w:u w:val="single"/>
    </w:rPr>
  </w:style>
  <w:style w:type="character" w:customStyle="1" w:styleId="muxgbd">
    <w:name w:val="muxgbd"/>
    <w:basedOn w:val="a0"/>
    <w:qFormat/>
    <w:rsid w:val="00A80F0B"/>
  </w:style>
  <w:style w:type="character" w:styleId="a5">
    <w:name w:val="Emphasis"/>
    <w:basedOn w:val="a0"/>
    <w:qFormat/>
    <w:rsid w:val="00A80F0B"/>
    <w:rPr>
      <w:i/>
      <w:iCs/>
    </w:rPr>
  </w:style>
  <w:style w:type="character" w:customStyle="1" w:styleId="WWCharLFO3LVL1">
    <w:name w:val="WW_CharLFO3LVL1"/>
    <w:qFormat/>
    <w:rsid w:val="00A80F0B"/>
    <w:rPr>
      <w:rFonts w:ascii="Times New Roman" w:eastAsia="Arial Unicode MS" w:hAnsi="Times New Roman" w:cs="Times New Roman"/>
    </w:rPr>
  </w:style>
  <w:style w:type="character" w:customStyle="1" w:styleId="WWCharLFO3LVL2">
    <w:name w:val="WW_CharLFO3LVL2"/>
    <w:qFormat/>
    <w:rsid w:val="00A80F0B"/>
    <w:rPr>
      <w:rFonts w:ascii="Times New Roman" w:hAnsi="Times New Roman" w:cs="Courier New"/>
    </w:rPr>
  </w:style>
  <w:style w:type="character" w:customStyle="1" w:styleId="WWCharLFO3LVL5">
    <w:name w:val="WW_CharLFO3LVL5"/>
    <w:qFormat/>
    <w:rsid w:val="00A80F0B"/>
    <w:rPr>
      <w:rFonts w:ascii="Times New Roman" w:hAnsi="Times New Roman" w:cs="Courier New"/>
    </w:rPr>
  </w:style>
  <w:style w:type="character" w:customStyle="1" w:styleId="WWCharLFO3LVL8">
    <w:name w:val="WW_CharLFO3LVL8"/>
    <w:qFormat/>
    <w:rsid w:val="00A80F0B"/>
    <w:rPr>
      <w:rFonts w:ascii="Times New Roman" w:hAnsi="Times New Roman" w:cs="Courier New"/>
    </w:rPr>
  </w:style>
  <w:style w:type="character" w:customStyle="1" w:styleId="WWCharLFO8LVL1">
    <w:name w:val="WW_CharLFO8LVL1"/>
    <w:qFormat/>
    <w:rsid w:val="00A80F0B"/>
    <w:rPr>
      <w:rFonts w:cs="Times New Roman"/>
    </w:rPr>
  </w:style>
  <w:style w:type="character" w:customStyle="1" w:styleId="WWCharLFO10LVL1">
    <w:name w:val="WW_CharLFO10LVL1"/>
    <w:qFormat/>
    <w:rsid w:val="00A80F0B"/>
    <w:rPr>
      <w:b/>
    </w:rPr>
  </w:style>
  <w:style w:type="character" w:customStyle="1" w:styleId="WWCharLFO12LVL1">
    <w:name w:val="WW_CharLFO12LVL1"/>
    <w:qFormat/>
    <w:rsid w:val="00A80F0B"/>
    <w:rPr>
      <w:b/>
      <w:bCs/>
    </w:rPr>
  </w:style>
  <w:style w:type="character" w:customStyle="1" w:styleId="WWCharLFO13LVL1">
    <w:name w:val="WW_CharLFO13LVL1"/>
    <w:qFormat/>
    <w:rsid w:val="00A80F0B"/>
    <w:rPr>
      <w:b w:val="0"/>
    </w:rPr>
  </w:style>
  <w:style w:type="character" w:customStyle="1" w:styleId="WWCharLFO14LVL1">
    <w:name w:val="WW_CharLFO14LVL1"/>
    <w:qFormat/>
    <w:rsid w:val="00A80F0B"/>
    <w:rPr>
      <w:b w:val="0"/>
    </w:rPr>
  </w:style>
  <w:style w:type="character" w:customStyle="1" w:styleId="WWCharLFO15LVL1">
    <w:name w:val="WW_CharLFO15LVL1"/>
    <w:qFormat/>
    <w:rsid w:val="00A80F0B"/>
    <w:rPr>
      <w:b w:val="0"/>
    </w:rPr>
  </w:style>
  <w:style w:type="character" w:customStyle="1" w:styleId="WWCharLFO16LVL1">
    <w:name w:val="WW_CharLFO16LVL1"/>
    <w:qFormat/>
    <w:rsid w:val="00A80F0B"/>
    <w:rPr>
      <w:b w:val="0"/>
    </w:rPr>
  </w:style>
  <w:style w:type="character" w:customStyle="1" w:styleId="WWCharLFO17LVL1">
    <w:name w:val="WW_CharLFO17LVL1"/>
    <w:qFormat/>
    <w:rsid w:val="00A80F0B"/>
    <w:rPr>
      <w:b w:val="0"/>
    </w:rPr>
  </w:style>
  <w:style w:type="character" w:customStyle="1" w:styleId="WWCharLFO18LVL1">
    <w:name w:val="WW_CharLFO18LVL1"/>
    <w:qFormat/>
    <w:rsid w:val="00A80F0B"/>
    <w:rPr>
      <w:b w:val="0"/>
    </w:rPr>
  </w:style>
  <w:style w:type="paragraph" w:customStyle="1" w:styleId="a6">
    <w:name w:val="Заголовок"/>
    <w:basedOn w:val="a"/>
    <w:next w:val="a7"/>
    <w:qFormat/>
    <w:rsid w:val="00A80F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A80F0B"/>
    <w:pPr>
      <w:spacing w:after="140" w:line="276" w:lineRule="auto"/>
    </w:pPr>
  </w:style>
  <w:style w:type="paragraph" w:styleId="a8">
    <w:name w:val="List"/>
    <w:basedOn w:val="a7"/>
    <w:rsid w:val="00A80F0B"/>
    <w:rPr>
      <w:rFonts w:cs="Lucida Sans"/>
      <w:sz w:val="24"/>
    </w:rPr>
  </w:style>
  <w:style w:type="paragraph" w:customStyle="1" w:styleId="Caption">
    <w:name w:val="Caption"/>
    <w:basedOn w:val="a"/>
    <w:qFormat/>
    <w:rsid w:val="00A80F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rsid w:val="00A80F0B"/>
    <w:pPr>
      <w:suppressLineNumbers/>
    </w:pPr>
    <w:rPr>
      <w:rFonts w:cs="Lucida Sans"/>
      <w:sz w:val="24"/>
    </w:rPr>
  </w:style>
  <w:style w:type="paragraph" w:styleId="aa">
    <w:name w:val="caption"/>
    <w:basedOn w:val="a"/>
    <w:qFormat/>
    <w:rsid w:val="00A80F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Balloon Text"/>
    <w:basedOn w:val="a"/>
    <w:qFormat/>
    <w:rsid w:val="00A80F0B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qFormat/>
    <w:rsid w:val="00A80F0B"/>
    <w:pPr>
      <w:jc w:val="center"/>
    </w:pPr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paragraph" w:styleId="ac">
    <w:name w:val="List Paragraph"/>
    <w:basedOn w:val="a"/>
    <w:qFormat/>
    <w:rsid w:val="00A80F0B"/>
    <w:pPr>
      <w:ind w:left="720"/>
    </w:pPr>
    <w:rPr>
      <w:rFonts w:ascii="Liberation Serif" w:eastAsia="SimSun" w:hAnsi="Liberation Serif" w:cs="Mangal"/>
      <w:kern w:val="2"/>
      <w:sz w:val="24"/>
      <w:szCs w:val="21"/>
      <w:lang w:val="uk-UA" w:eastAsia="zh-CN" w:bidi="hi-IN"/>
    </w:rPr>
  </w:style>
  <w:style w:type="paragraph" w:customStyle="1" w:styleId="ad">
    <w:name w:val="Вміст таблиці"/>
    <w:basedOn w:val="a"/>
    <w:qFormat/>
    <w:rsid w:val="00A80F0B"/>
    <w:pPr>
      <w:suppressLineNumbers/>
    </w:pPr>
  </w:style>
  <w:style w:type="paragraph" w:customStyle="1" w:styleId="ae">
    <w:name w:val="Заголовок таблиці"/>
    <w:basedOn w:val="ad"/>
    <w:qFormat/>
    <w:rsid w:val="00A80F0B"/>
    <w:pPr>
      <w:jc w:val="center"/>
    </w:pPr>
    <w:rPr>
      <w:b/>
      <w:bCs/>
    </w:rPr>
  </w:style>
  <w:style w:type="paragraph" w:customStyle="1" w:styleId="af">
    <w:name w:val="Назва документа"/>
    <w:basedOn w:val="a"/>
    <w:next w:val="a"/>
    <w:rsid w:val="00B505B6"/>
    <w:pPr>
      <w:keepNext/>
      <w:keepLines/>
      <w:widowControl/>
      <w:suppressAutoHyphens w:val="0"/>
      <w:overflowPunct/>
      <w:spacing w:before="240" w:after="240"/>
      <w:jc w:val="center"/>
      <w:textAlignment w:val="auto"/>
    </w:pPr>
    <w:rPr>
      <w:rFonts w:ascii="Antiqua" w:eastAsia="Times New Roman" w:hAnsi="Antiqua" w:cs="Times New Roman"/>
      <w:b/>
      <w:color w:val="auto"/>
      <w:sz w:val="26"/>
      <w:szCs w:val="20"/>
      <w:lang w:val="uk-UA" w:eastAsia="ru-RU"/>
    </w:rPr>
  </w:style>
  <w:style w:type="paragraph" w:customStyle="1" w:styleId="af0">
    <w:name w:val="Нормальний текст"/>
    <w:basedOn w:val="a"/>
    <w:rsid w:val="00B505B6"/>
    <w:pPr>
      <w:widowControl/>
      <w:suppressAutoHyphens w:val="0"/>
      <w:overflowPunct/>
      <w:spacing w:before="120"/>
      <w:ind w:firstLine="567"/>
      <w:textAlignment w:val="auto"/>
    </w:pPr>
    <w:rPr>
      <w:rFonts w:ascii="Antiqua" w:eastAsia="Times New Roman" w:hAnsi="Antiqua" w:cs="Times New Roman"/>
      <w:color w:val="auto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2023-01-12T14:42:00Z</cp:lastPrinted>
  <dcterms:created xsi:type="dcterms:W3CDTF">2023-01-12T14:33:00Z</dcterms:created>
  <dcterms:modified xsi:type="dcterms:W3CDTF">2023-01-12T15:24:00Z</dcterms:modified>
  <dc:language>uk-UA</dc:language>
</cp:coreProperties>
</file>