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36" w:rsidRDefault="006E7B36">
      <w:pPr>
        <w:pStyle w:val="Standard"/>
        <w:spacing w:after="0" w:line="240" w:lineRule="auto"/>
        <w:rPr>
          <w:rFonts w:ascii="Times New Roman" w:hAnsi="Times New Roman" w:cs="Times New Roman"/>
          <w:lang w:val="uk-UA"/>
        </w:rPr>
      </w:pPr>
    </w:p>
    <w:p w:rsidR="006E7B36" w:rsidRDefault="006E7B36">
      <w:pPr>
        <w:pStyle w:val="Standard"/>
        <w:spacing w:after="0" w:line="240" w:lineRule="auto"/>
        <w:rPr>
          <w:rFonts w:ascii="Times New Roman" w:hAnsi="Times New Roman" w:cs="Times New Roman"/>
          <w:lang w:val="uk-UA"/>
        </w:rPr>
      </w:pPr>
    </w:p>
    <w:p w:rsidR="002F34F0" w:rsidRDefault="002F34F0" w:rsidP="002F34F0">
      <w:pPr>
        <w:jc w:val="center"/>
        <w:rPr>
          <w:b/>
          <w:sz w:val="28"/>
          <w:szCs w:val="28"/>
        </w:rPr>
      </w:pPr>
      <w:r w:rsidRPr="00384844">
        <w:rPr>
          <w:sz w:val="28"/>
          <w:szCs w:val="28"/>
        </w:rPr>
        <w:object w:dxaOrig="7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7" o:title=""/>
          </v:shape>
          <o:OLEObject Type="Embed" ProgID="Imaging." ShapeID="_x0000_i1025" DrawAspect="Content" ObjectID="_1744703322" r:id="rId8"/>
        </w:object>
      </w:r>
    </w:p>
    <w:p w:rsidR="002F34F0" w:rsidRPr="007852C1" w:rsidRDefault="002F34F0" w:rsidP="002F34F0">
      <w:pPr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УКРАЇНА</w:t>
      </w:r>
    </w:p>
    <w:p w:rsidR="002F34F0" w:rsidRPr="007852C1" w:rsidRDefault="002F34F0" w:rsidP="002F34F0">
      <w:pPr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2F34F0" w:rsidRPr="007852C1" w:rsidRDefault="002F34F0" w:rsidP="002F34F0">
      <w:pPr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2F34F0" w:rsidRPr="007852C1" w:rsidRDefault="002F34F0" w:rsidP="002F34F0">
      <w:pPr>
        <w:ind w:right="112"/>
        <w:jc w:val="center"/>
        <w:rPr>
          <w:rFonts w:ascii="Times New Roman" w:hAnsi="Times New Roman"/>
          <w:b/>
          <w:sz w:val="28"/>
          <w:szCs w:val="28"/>
        </w:rPr>
      </w:pPr>
    </w:p>
    <w:p w:rsidR="002F34F0" w:rsidRPr="007852C1" w:rsidRDefault="002F34F0" w:rsidP="002F34F0">
      <w:pPr>
        <w:ind w:right="112"/>
        <w:jc w:val="center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РІШЕННЯ</w:t>
      </w:r>
    </w:p>
    <w:p w:rsidR="002F34F0" w:rsidRPr="007852C1" w:rsidRDefault="002F34F0" w:rsidP="002F34F0">
      <w:pPr>
        <w:ind w:right="112"/>
        <w:rPr>
          <w:rFonts w:ascii="Times New Roman" w:hAnsi="Times New Roman"/>
          <w:b/>
          <w:sz w:val="28"/>
          <w:szCs w:val="28"/>
        </w:rPr>
      </w:pPr>
    </w:p>
    <w:p w:rsidR="002F34F0" w:rsidRPr="007852C1" w:rsidRDefault="002F34F0" w:rsidP="002F34F0">
      <w:pPr>
        <w:ind w:right="112"/>
        <w:jc w:val="both"/>
        <w:rPr>
          <w:rFonts w:ascii="Times New Roman" w:hAnsi="Times New Roman"/>
          <w:b/>
          <w:sz w:val="28"/>
          <w:szCs w:val="28"/>
        </w:rPr>
      </w:pPr>
      <w:r w:rsidRPr="007852C1">
        <w:rPr>
          <w:rFonts w:ascii="Times New Roman" w:hAnsi="Times New Roman"/>
          <w:b/>
          <w:sz w:val="28"/>
          <w:szCs w:val="28"/>
        </w:rPr>
        <w:t>«___»__________2023р.                   м. Калуш                                 №____</w:t>
      </w:r>
    </w:p>
    <w:p w:rsidR="006E7B36" w:rsidRDefault="006E7B36">
      <w:pPr>
        <w:pStyle w:val="Standard"/>
        <w:spacing w:after="0" w:line="240" w:lineRule="auto"/>
        <w:rPr>
          <w:rFonts w:ascii="Times New Roman" w:hAnsi="Times New Roman" w:cs="Times New Roman"/>
          <w:lang w:val="uk-UA"/>
        </w:rPr>
      </w:pPr>
    </w:p>
    <w:p w:rsidR="006E7B36" w:rsidRDefault="006E7B36">
      <w:pPr>
        <w:pStyle w:val="Standard"/>
        <w:spacing w:after="0" w:line="240" w:lineRule="auto"/>
        <w:rPr>
          <w:rFonts w:ascii="Times New Roman" w:hAnsi="Times New Roman" w:cs="Times New Roman"/>
          <w:lang w:val="uk-UA"/>
        </w:rPr>
      </w:pPr>
    </w:p>
    <w:p w:rsidR="006E7B36" w:rsidRDefault="00223A09">
      <w:pPr>
        <w:pStyle w:val="Standard"/>
        <w:spacing w:after="0" w:line="240" w:lineRule="auto"/>
      </w:pPr>
      <w:r>
        <w:rPr>
          <w:rStyle w:val="af1"/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Style w:val="af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створення місцевої державної</w:t>
      </w:r>
    </w:p>
    <w:p w:rsidR="006E7B36" w:rsidRDefault="00223A09">
      <w:pPr>
        <w:pStyle w:val="Standard"/>
        <w:spacing w:after="0" w:line="240" w:lineRule="auto"/>
      </w:pPr>
      <w:r>
        <w:rPr>
          <w:rStyle w:val="af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надзвичайної протиепізоотичної</w:t>
      </w:r>
    </w:p>
    <w:p w:rsidR="006E7B36" w:rsidRDefault="00223A09">
      <w:pPr>
        <w:pStyle w:val="Standard"/>
        <w:spacing w:after="0" w:line="240" w:lineRule="auto"/>
      </w:pPr>
      <w:r>
        <w:rPr>
          <w:rStyle w:val="af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комісії </w:t>
      </w:r>
      <w:r>
        <w:rPr>
          <w:rStyle w:val="af1"/>
          <w:rFonts w:ascii="Times New Roman" w:hAnsi="Times New Roman" w:cs="Times New Roman"/>
          <w:sz w:val="28"/>
          <w:szCs w:val="28"/>
          <w:lang w:val="uk-UA"/>
        </w:rPr>
        <w:t>при виконавчому комітеті</w:t>
      </w:r>
    </w:p>
    <w:p w:rsidR="006E7B36" w:rsidRDefault="00223A09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p w:rsidR="006E7B36" w:rsidRDefault="006E7B3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7B36" w:rsidRDefault="006E7B3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7B36" w:rsidRDefault="00223A0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2 «б» частини 1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38, статтею 52, пунктом 6 статті 59 Закону України «Про місцеве самоврядування в Україні» та статтею 41 Закону України «Про ветеринарну медицину», відповідно до постанови Кабінету Міністрів України від 19 квітня 2022р. №479 “Про затвердження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Державну надзвичайну протиепізоотичну комісію при Кабінеті Міністрів України, Типового положення про місцеву державну надзвичайну протиепізоотичну комісію та визнання такими, що втратили чинність, деяких постанов Кабінету Міністрів України”, беручи до уваг</w:t>
      </w:r>
      <w:r w:rsidR="002F34F0">
        <w:rPr>
          <w:rFonts w:ascii="Times New Roman" w:hAnsi="Times New Roman" w:cs="Times New Roman"/>
          <w:sz w:val="28"/>
          <w:szCs w:val="28"/>
          <w:lang w:val="uk-UA"/>
        </w:rPr>
        <w:t xml:space="preserve">и лист Головного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 в Івано-Франківській області №вих.02/1105-23 від 24.03.2023 (вх №1676/02-21/10 від 24.03.2023), з метою здійснення оперативного контролю, керівництва та координації діяльності органів виконавчої влади,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місцевого самоврядування, фізичних та юридичних осіб незалежно від форми власності щодо запобігання спалахам особливо небезпечних хвороб, включених до списку Всесвітньої організації охорони здоров’я тварин (далі – інфекційні хвороби), інвазійних хвороб </w:t>
      </w:r>
      <w:r>
        <w:rPr>
          <w:rFonts w:ascii="Times New Roman" w:hAnsi="Times New Roman" w:cs="Times New Roman"/>
          <w:sz w:val="28"/>
          <w:szCs w:val="28"/>
          <w:lang w:val="uk-UA"/>
        </w:rPr>
        <w:t>і масовим отруєнням тварин та їх ліквідації в межах Калуської міської територіальної громади, виконавчий комітет міської ради</w:t>
      </w:r>
    </w:p>
    <w:p w:rsidR="006E7B36" w:rsidRDefault="006E7B36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6E7B36" w:rsidRDefault="00223A09">
      <w:pPr>
        <w:pStyle w:val="Standard"/>
        <w:tabs>
          <w:tab w:val="left" w:pos="1395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E7B36" w:rsidRDefault="00223A0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Створити місцеву державну надзвичайну протиепізоотичну комісію при виконавчому комітеті Калуської міської ради, як по</w:t>
      </w:r>
      <w:r>
        <w:rPr>
          <w:rFonts w:ascii="Times New Roman" w:hAnsi="Times New Roman" w:cs="Times New Roman"/>
          <w:sz w:val="28"/>
          <w:szCs w:val="28"/>
          <w:lang w:val="uk-UA"/>
        </w:rPr>
        <w:t>стійно діючий орган (далі – Комісія) та затвердити її склад, згідно з додатком 1.</w:t>
      </w:r>
    </w:p>
    <w:p w:rsidR="006E7B36" w:rsidRPr="002F34F0" w:rsidRDefault="00223A09">
      <w:pPr>
        <w:pStyle w:val="Standard"/>
        <w:spacing w:after="0" w:line="240" w:lineRule="auto"/>
        <w:ind w:firstLine="709"/>
        <w:jc w:val="both"/>
        <w:rPr>
          <w:lang w:val="uk-UA"/>
        </w:rPr>
      </w:pPr>
      <w:r>
        <w:rPr>
          <w:rStyle w:val="af1"/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Style w:val="af1"/>
          <w:rFonts w:ascii="Times New Roman" w:hAnsi="Times New Roman" w:cs="Times New Roman"/>
          <w:sz w:val="28"/>
          <w:szCs w:val="28"/>
          <w:lang w:val="uk-UA"/>
        </w:rPr>
        <w:tab/>
        <w:t>Затвердити Положення про місцеву державну надзвичайну протиепізоотичну комісію при виконавчому комітеті Калуської міської ради” згідно з додатком 2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E7B36" w:rsidRPr="002F34F0" w:rsidRDefault="00223A09">
      <w:pPr>
        <w:pStyle w:val="Standard"/>
        <w:spacing w:after="0" w:line="240" w:lineRule="auto"/>
        <w:ind w:firstLine="709"/>
        <w:jc w:val="both"/>
        <w:rPr>
          <w:lang w:val="uk-UA"/>
        </w:rPr>
      </w:pP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t>3. Рішення виконавчого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комітету Калуської міської ради від 17.06.2014 №94 “Про державну надзвичайну протиепізоотичну комісію при виконавчому</w:t>
      </w:r>
    </w:p>
    <w:p w:rsidR="006E7B36" w:rsidRPr="002F34F0" w:rsidRDefault="006E7B36">
      <w:pPr>
        <w:pStyle w:val="Standard"/>
        <w:spacing w:after="0" w:line="240" w:lineRule="auto"/>
        <w:ind w:firstLine="709"/>
        <w:jc w:val="both"/>
        <w:rPr>
          <w:lang w:val="uk-UA"/>
        </w:rPr>
      </w:pPr>
    </w:p>
    <w:p w:rsidR="006E7B36" w:rsidRPr="002F34F0" w:rsidRDefault="006E7B36">
      <w:pPr>
        <w:pStyle w:val="Standard"/>
        <w:spacing w:after="0" w:line="240" w:lineRule="auto"/>
        <w:jc w:val="both"/>
        <w:rPr>
          <w:lang w:val="uk-UA"/>
        </w:rPr>
      </w:pPr>
    </w:p>
    <w:p w:rsidR="006E7B36" w:rsidRPr="002F34F0" w:rsidRDefault="00223A09">
      <w:pPr>
        <w:pStyle w:val="Standard"/>
        <w:spacing w:after="0" w:line="240" w:lineRule="auto"/>
        <w:jc w:val="both"/>
        <w:rPr>
          <w:lang w:val="uk-UA"/>
        </w:rPr>
      </w:pP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t>комітеті Калуської міської ради”, від 29.06.2016 №128 “ Про внесення змін у</w:t>
      </w:r>
    </w:p>
    <w:p w:rsidR="006E7B36" w:rsidRPr="002F34F0" w:rsidRDefault="00223A09">
      <w:pPr>
        <w:pStyle w:val="Standard"/>
        <w:spacing w:after="0" w:line="240" w:lineRule="auto"/>
        <w:jc w:val="both"/>
        <w:rPr>
          <w:lang w:val="uk-UA"/>
        </w:rPr>
      </w:pP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до рішення виконавчого комітету Калуської міської р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t>ади від 17.06.2014 №94 “Про державну надзвичайну протиепізоотичну комісію при виконавчому комітеті Калуської міської ради”, від 27.04.2021 №115 “Про затвердження складу надзвичайної протиепізоотичної комісії при виконавчому комітеті Калуської міської ради”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val="uk-UA"/>
        </w:rPr>
        <w:t>, вважати такими, що втратили чинність</w:t>
      </w:r>
    </w:p>
    <w:p w:rsidR="006E7B36" w:rsidRDefault="00223A0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Наталію Кінаш.</w:t>
      </w:r>
    </w:p>
    <w:p w:rsidR="006E7B36" w:rsidRDefault="006E7B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7B36" w:rsidRDefault="006E7B3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B36" w:rsidRDefault="00223A09">
      <w:pPr>
        <w:pStyle w:val="Standard"/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Андрій НАЙДА</w:t>
      </w:r>
    </w:p>
    <w:p w:rsidR="006E7B36" w:rsidRDefault="006E7B36">
      <w:pPr>
        <w:pStyle w:val="Standard"/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B36" w:rsidRDefault="006E7B36">
      <w:pPr>
        <w:pStyle w:val="af0"/>
        <w:ind w:firstLine="454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ind w:firstLine="454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3"/>
        <w:pageBreakBefore/>
      </w:pPr>
      <w:bookmarkStart w:id="0" w:name="_GoBack"/>
      <w:bookmarkEnd w:id="0"/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0"/>
        <w:gridCol w:w="4144"/>
      </w:tblGrid>
      <w:tr w:rsidR="006E7B36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5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6E7B36">
            <w:pPr>
              <w:pStyle w:val="Style7"/>
              <w:jc w:val="right"/>
            </w:pPr>
          </w:p>
          <w:p w:rsidR="006E7B36" w:rsidRDefault="006E7B36">
            <w:pPr>
              <w:pStyle w:val="Style7"/>
              <w:jc w:val="right"/>
            </w:pPr>
          </w:p>
          <w:p w:rsidR="006E7B36" w:rsidRDefault="006E7B36">
            <w:pPr>
              <w:pStyle w:val="Style7"/>
              <w:jc w:val="right"/>
            </w:pPr>
          </w:p>
          <w:p w:rsidR="006E7B36" w:rsidRDefault="006E7B36">
            <w:pPr>
              <w:pStyle w:val="Style7"/>
              <w:jc w:val="right"/>
            </w:pPr>
          </w:p>
          <w:p w:rsidR="006E7B36" w:rsidRDefault="006E7B36">
            <w:pPr>
              <w:pStyle w:val="Style7"/>
              <w:jc w:val="right"/>
            </w:pPr>
          </w:p>
        </w:tc>
        <w:tc>
          <w:tcPr>
            <w:tcW w:w="4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yle7"/>
            </w:pPr>
            <w:r>
              <w:rPr>
                <w:rStyle w:val="FontStyle17"/>
                <w:b w:val="0"/>
                <w:sz w:val="24"/>
                <w:szCs w:val="24"/>
              </w:rPr>
              <w:t xml:space="preserve">Додаток </w:t>
            </w:r>
            <w:r>
              <w:rPr>
                <w:rStyle w:val="FontStyle17"/>
                <w:b w:val="0"/>
                <w:sz w:val="24"/>
                <w:szCs w:val="24"/>
              </w:rPr>
              <w:t>1</w:t>
            </w:r>
          </w:p>
          <w:p w:rsidR="006E7B36" w:rsidRDefault="00223A09">
            <w:pPr>
              <w:pStyle w:val="Style7"/>
            </w:pPr>
            <w:r>
              <w:rPr>
                <w:rStyle w:val="FontStyle17"/>
                <w:b w:val="0"/>
                <w:sz w:val="24"/>
                <w:szCs w:val="24"/>
              </w:rPr>
              <w:t>до рішення виконавчого комітету Калуської міської ради</w:t>
            </w:r>
          </w:p>
          <w:p w:rsidR="006E7B36" w:rsidRDefault="00223A09">
            <w:pPr>
              <w:pStyle w:val="Style7"/>
            </w:pPr>
            <w:r>
              <w:rPr>
                <w:rStyle w:val="FontStyle17"/>
                <w:b w:val="0"/>
                <w:sz w:val="24"/>
                <w:szCs w:val="24"/>
              </w:rPr>
              <w:t>____________ №___________</w:t>
            </w:r>
          </w:p>
        </w:tc>
      </w:tr>
    </w:tbl>
    <w:p w:rsidR="006E7B36" w:rsidRDefault="00223A09">
      <w:pPr>
        <w:pStyle w:val="Standard"/>
        <w:shd w:val="clear" w:color="auto" w:fill="FFFFFF"/>
        <w:spacing w:before="577" w:after="0" w:line="286" w:lineRule="exact"/>
        <w:ind w:left="4376"/>
      </w:pPr>
      <w:r>
        <w:rPr>
          <w:rStyle w:val="FontStyle17"/>
          <w:rFonts w:eastAsia="SimSun"/>
          <w:color w:val="000000"/>
          <w:spacing w:val="3"/>
          <w:sz w:val="24"/>
          <w:szCs w:val="24"/>
          <w:lang w:val="uk-UA"/>
        </w:rPr>
        <w:t>Склад</w:t>
      </w:r>
    </w:p>
    <w:p w:rsidR="006E7B36" w:rsidRDefault="00223A09">
      <w:pPr>
        <w:pStyle w:val="Style7"/>
        <w:jc w:val="center"/>
      </w:pPr>
      <w:r>
        <w:rPr>
          <w:rStyle w:val="FontStyle17"/>
          <w:b w:val="0"/>
          <w:bCs w:val="0"/>
          <w:color w:val="000000"/>
          <w:sz w:val="24"/>
          <w:szCs w:val="24"/>
        </w:rPr>
        <w:t>місцевої державної надзвичайної протиепізоотичної комісії</w:t>
      </w:r>
    </w:p>
    <w:p w:rsidR="006E7B36" w:rsidRDefault="00223A09">
      <w:pPr>
        <w:pStyle w:val="Style7"/>
        <w:jc w:val="center"/>
      </w:pPr>
      <w:r>
        <w:rPr>
          <w:rStyle w:val="FontStyle17"/>
          <w:b w:val="0"/>
          <w:bCs w:val="0"/>
          <w:color w:val="000000"/>
          <w:sz w:val="24"/>
          <w:szCs w:val="24"/>
        </w:rPr>
        <w:t>при виконавчому комітеті Калуської міської ради</w:t>
      </w:r>
    </w:p>
    <w:p w:rsidR="006E7B36" w:rsidRDefault="006E7B36">
      <w:pPr>
        <w:pStyle w:val="Style7"/>
        <w:jc w:val="center"/>
      </w:pPr>
    </w:p>
    <w:p w:rsidR="006E7B36" w:rsidRDefault="006E7B36">
      <w:pPr>
        <w:pStyle w:val="Style7"/>
        <w:jc w:val="center"/>
      </w:pPr>
    </w:p>
    <w:p w:rsidR="006E7B36" w:rsidRDefault="006E7B36">
      <w:pPr>
        <w:pStyle w:val="Style7"/>
        <w:jc w:val="center"/>
      </w:pPr>
    </w:p>
    <w:tbl>
      <w:tblPr>
        <w:tblW w:w="9640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9"/>
        <w:gridCol w:w="5391"/>
      </w:tblGrid>
      <w:tr w:rsidR="006E7B3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0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Голова Комісії:</w:t>
            </w:r>
          </w:p>
          <w:p w:rsidR="006E7B36" w:rsidRDefault="006E7B36">
            <w:pPr>
              <w:pStyle w:val="Standard"/>
              <w:widowControl w:val="0"/>
              <w:spacing w:after="0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Найда Андрій Михайлович -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6E7B36">
            <w:pPr>
              <w:pStyle w:val="Standard"/>
              <w:widowControl w:val="0"/>
              <w:spacing w:after="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6E7B36">
            <w:pPr>
              <w:pStyle w:val="Standard"/>
              <w:widowControl w:val="0"/>
              <w:spacing w:after="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0"/>
              <w:jc w:val="both"/>
            </w:pPr>
            <w:r w:rsidRPr="002F34F0">
              <w:rPr>
                <w:rStyle w:val="af1"/>
                <w:rFonts w:ascii="Times New Roman" w:hAnsi="Times New Roman" w:cs="Times New Roman"/>
                <w:b/>
                <w:sz w:val="24"/>
                <w:szCs w:val="24"/>
              </w:rPr>
              <w:t>Перший з</w:t>
            </w:r>
            <w:r>
              <w:rPr>
                <w:rStyle w:val="af1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аступник голови Комісії:</w:t>
            </w:r>
          </w:p>
          <w:p w:rsidR="006E7B36" w:rsidRDefault="006E7B36">
            <w:pPr>
              <w:pStyle w:val="Standard"/>
              <w:widowControl w:val="0"/>
              <w:spacing w:after="0"/>
              <w:jc w:val="both"/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Кінаш Наталія Олександрівна -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6E7B36">
            <w:pPr>
              <w:pStyle w:val="Standard"/>
              <w:widowControl w:val="0"/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6E7B36">
            <w:pPr>
              <w:pStyle w:val="Standard"/>
              <w:widowControl w:val="0"/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голови Комісії:</w:t>
            </w: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-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Угера Юрій Мирославович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6E7B36">
            <w:pPr>
              <w:pStyle w:val="Standard"/>
              <w:widowControl w:val="0"/>
              <w:spacing w:after="0" w:line="286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0" w:line="286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Калуського міського відділу Калуського районного управління  Головного 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 в Івано-Франківській області (за згодою)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 секретар Комісії: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-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-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Галущак Леонід Петрович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6E7B36">
            <w:pPr>
              <w:pStyle w:val="Standard"/>
              <w:widowControl w:val="0"/>
              <w:tabs>
                <w:tab w:val="left" w:pos="4695"/>
              </w:tabs>
              <w:spacing w:after="0" w:line="286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6E7B36">
            <w:pPr>
              <w:pStyle w:val="Standard"/>
              <w:widowControl w:val="0"/>
              <w:tabs>
                <w:tab w:val="left" w:pos="4695"/>
              </w:tabs>
              <w:spacing w:after="0" w:line="286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6E7B36">
            <w:pPr>
              <w:pStyle w:val="Standard"/>
              <w:widowControl w:val="0"/>
              <w:tabs>
                <w:tab w:val="left" w:pos="4695"/>
              </w:tabs>
              <w:spacing w:after="0" w:line="286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tabs>
                <w:tab w:val="left" w:pos="4695"/>
              </w:tabs>
              <w:spacing w:after="0" w:line="286" w:lineRule="exact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Калуського міського відділу Калуського районного управління  Головного управління Держпродспоживслужби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Івано-Франківській області (за згодою)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6E7B36">
            <w:pPr>
              <w:pStyle w:val="Standard"/>
              <w:widowControl w:val="0"/>
              <w:spacing w:after="265" w:line="286" w:lineRule="exact"/>
              <w:ind w:right="16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16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Члени Комісії: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265" w:line="286" w:lineRule="exact"/>
              <w:ind w:right="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Возняк Віктор Володимирович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tabs>
                <w:tab w:val="left" w:pos="4144"/>
              </w:tabs>
              <w:spacing w:after="265" w:line="286" w:lineRule="exact"/>
              <w:ind w:right="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Калуського міського відділу Калуського районного управління Головного управління Держпродспоживслужби в Івано-Франківській області (за згодою)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Гаврилишин Михайло Богданович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Гринів Василь Михайлович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Дембич Іван Іванович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265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КНП «Калуський міський центр первинної медико-санітарної допомоги Калуської міської ради»</w:t>
            </w:r>
          </w:p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265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ГО Калуська районна організація Українського товариства мисливців та риб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алок (за згодою)</w:t>
            </w:r>
          </w:p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265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з питань надзвичайних ситуацій Калуської міської ради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265" w:line="286" w:lineRule="exact"/>
              <w:ind w:right="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Дикий Теодозій Євгенович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41"/>
            </w:pP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Донець Андрій Ігорович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Кіт Володимир Михайлович</w:t>
            </w: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Ярослав Петрович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265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Калуського відділу Івано-Франківської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державної лікарні ветеринарної медицини (за згодою)</w:t>
            </w:r>
          </w:p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265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Калуського районного відділу поліції ГУ НП в Івано-Франківській області (за згодою)</w:t>
            </w:r>
          </w:p>
          <w:p w:rsidR="006E7B36" w:rsidRDefault="006E7B36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0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0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ДНД №317/5 м.Калуш (за згодою)</w:t>
            </w:r>
          </w:p>
          <w:p w:rsidR="006E7B36" w:rsidRDefault="006E7B36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0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tabs>
                <w:tab w:val="left" w:pos="4668"/>
                <w:tab w:val="left" w:pos="4695"/>
              </w:tabs>
              <w:spacing w:after="0"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т.в.о.генерального директора КНП «Центральна районна лікар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Калуської міської ради Івано-Франківської області»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265" w:line="286" w:lineRule="exact"/>
              <w:ind w:right="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Нітух Ірина Михайлівна</w:t>
            </w:r>
          </w:p>
          <w:p w:rsidR="006E7B36" w:rsidRDefault="006E7B36">
            <w:pPr>
              <w:pStyle w:val="Standard"/>
              <w:widowControl w:val="0"/>
              <w:spacing w:after="265" w:line="286" w:lineRule="exact"/>
              <w:ind w:right="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E7B36" w:rsidRDefault="00223A09">
            <w:pPr>
              <w:pStyle w:val="Standard"/>
              <w:widowControl w:val="0"/>
              <w:spacing w:after="265" w:line="286" w:lineRule="exact"/>
              <w:ind w:right="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Пипчак Андрій Михайлович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af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 Калуського міського відділу Калуського районного управління  Головного управління Держпродспоживслужби в Івано-Франківській </w:t>
            </w:r>
            <w:r>
              <w:rPr>
                <w:lang w:val="uk-UA"/>
              </w:rPr>
              <w:t>області (за згодою)</w:t>
            </w:r>
          </w:p>
          <w:p w:rsidR="006E7B36" w:rsidRDefault="00223A09">
            <w:pPr>
              <w:pStyle w:val="af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спеціаліст Калуського міського відділу Калуського районного управління Головного управління Держпродспоживслужби в Івано-Франківській області (за згодою)</w:t>
            </w:r>
          </w:p>
          <w:p w:rsidR="006E7B36" w:rsidRDefault="006E7B36">
            <w:pPr>
              <w:pStyle w:val="af"/>
              <w:widowControl w:val="0"/>
              <w:jc w:val="both"/>
              <w:rPr>
                <w:lang w:val="uk-UA"/>
              </w:rPr>
            </w:pP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tabs>
                <w:tab w:val="left" w:pos="4036"/>
              </w:tabs>
              <w:spacing w:after="265" w:line="286" w:lineRule="exact"/>
              <w:ind w:right="-5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Поташник Леся Василівна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фінансового управління Калуської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6E7B36" w:rsidRDefault="006E7B36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265" w:line="286" w:lineRule="exact"/>
              <w:ind w:right="-148"/>
            </w:pPr>
            <w:r>
              <w:rPr>
                <w:rStyle w:val="af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Староста старостинського округу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af"/>
              <w:widowControl w:val="0"/>
            </w:pPr>
            <w:r>
              <w:rPr>
                <w:rStyle w:val="af1"/>
                <w:color w:val="000000"/>
                <w:lang w:val="uk-UA"/>
              </w:rPr>
              <w:t>відповідно до місця виникнення спалаху особливо небезпечних хвороб</w:t>
            </w:r>
          </w:p>
        </w:tc>
      </w:tr>
      <w:tr w:rsidR="006E7B36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Standard"/>
              <w:widowControl w:val="0"/>
              <w:spacing w:after="265" w:line="286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Фіцак Тарас  Іванович -</w:t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36" w:rsidRDefault="00223A09">
            <w:pPr>
              <w:pStyle w:val="af"/>
              <w:widowControl w:val="0"/>
              <w:rPr>
                <w:lang w:val="uk-UA"/>
              </w:rPr>
            </w:pPr>
            <w:r>
              <w:rPr>
                <w:lang w:val="uk-UA"/>
              </w:rPr>
              <w:t>начальник  управління житлово-комунального господарства Калуської</w:t>
            </w:r>
          </w:p>
          <w:p w:rsidR="006E7B36" w:rsidRDefault="00223A09">
            <w:pPr>
              <w:pStyle w:val="af"/>
              <w:widowControl w:val="0"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p w:rsidR="006E7B36" w:rsidRDefault="006E7B36">
            <w:pPr>
              <w:pStyle w:val="af"/>
              <w:widowControl w:val="0"/>
              <w:rPr>
                <w:lang w:val="uk-UA"/>
              </w:rPr>
            </w:pPr>
          </w:p>
        </w:tc>
      </w:tr>
    </w:tbl>
    <w:p w:rsidR="006E7B36" w:rsidRDefault="006E7B36">
      <w:pPr>
        <w:pStyle w:val="af0"/>
      </w:pPr>
    </w:p>
    <w:p w:rsidR="006E7B36" w:rsidRDefault="006E7B36">
      <w:pPr>
        <w:pStyle w:val="af0"/>
      </w:pPr>
    </w:p>
    <w:p w:rsidR="006E7B36" w:rsidRDefault="006E7B36">
      <w:pPr>
        <w:pStyle w:val="af0"/>
      </w:pPr>
    </w:p>
    <w:p w:rsidR="006E7B36" w:rsidRDefault="00223A09">
      <w:pPr>
        <w:pStyle w:val="af0"/>
        <w:tabs>
          <w:tab w:val="left" w:pos="700"/>
        </w:tabs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Керуючий справами виконкому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  <w:t>Олег САВКА</w:t>
      </w: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  <w:rPr>
          <w:rFonts w:ascii="Times New Roman" w:hAnsi="Times New Roman"/>
          <w:sz w:val="26"/>
          <w:szCs w:val="26"/>
          <w:lang w:val="uk-UA"/>
        </w:rPr>
      </w:pPr>
    </w:p>
    <w:p w:rsidR="006E7B36" w:rsidRDefault="006E7B36">
      <w:pPr>
        <w:pStyle w:val="af0"/>
      </w:pPr>
    </w:p>
    <w:sectPr w:rsidR="006E7B36" w:rsidSect="002F34F0">
      <w:pgSz w:w="11906" w:h="16838"/>
      <w:pgMar w:top="0" w:right="707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09" w:rsidRDefault="00223A09">
      <w:r>
        <w:separator/>
      </w:r>
    </w:p>
  </w:endnote>
  <w:endnote w:type="continuationSeparator" w:id="0">
    <w:p w:rsidR="00223A09" w:rsidRDefault="0022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09" w:rsidRDefault="00223A09">
      <w:r>
        <w:rPr>
          <w:color w:val="000000"/>
        </w:rPr>
        <w:separator/>
      </w:r>
    </w:p>
  </w:footnote>
  <w:footnote w:type="continuationSeparator" w:id="0">
    <w:p w:rsidR="00223A09" w:rsidRDefault="0022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0837"/>
    <w:multiLevelType w:val="multilevel"/>
    <w:tmpl w:val="99DAC97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7B36"/>
    <w:rsid w:val="00223A09"/>
    <w:rsid w:val="002F34F0"/>
    <w:rsid w:val="006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80D8"/>
  <w15:docId w15:val="{1B8D6ABE-710C-4E36-BA1E-23EFDB9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  <w:sz w:val="36"/>
      <w:szCs w:val="36"/>
    </w:rPr>
  </w:style>
  <w:style w:type="paragraph" w:styleId="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Standard"/>
    <w:next w:val="Textbody"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5">
    <w:name w:val="heading 5"/>
    <w:basedOn w:val="Standard"/>
    <w:next w:val="Textbody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a3">
    <w:name w:val="Звичайний"/>
    <w:pPr>
      <w:suppressAutoHyphens/>
    </w:pPr>
  </w:style>
  <w:style w:type="paragraph" w:styleId="a4">
    <w:name w:val="List"/>
    <w:basedOn w:val="Textbody"/>
    <w:rPr>
      <w:rFonts w:cs="Lucida Sans"/>
    </w:rPr>
  </w:style>
  <w:style w:type="paragraph" w:customStyle="1" w:styleId="a5">
    <w:name w:val="Назва об'єкта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6">
    <w:name w:val="Покажчик"/>
    <w:basedOn w:val="Standard"/>
    <w:pPr>
      <w:suppressLineNumbers/>
    </w:pPr>
    <w:rPr>
      <w:rFonts w:cs="Lucida Sans"/>
    </w:rPr>
  </w:style>
  <w:style w:type="paragraph" w:customStyle="1" w:styleId="a7">
    <w:name w:val="Звичайний (веб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Текст у виносці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a9">
    <w:name w:val="Абзац списку"/>
    <w:basedOn w:val="Standard"/>
    <w:pPr>
      <w:ind w:left="720"/>
    </w:pPr>
  </w:style>
  <w:style w:type="paragraph" w:customStyle="1" w:styleId="aa">
    <w:name w:val="Верхній і нижній колонтитули"/>
    <w:basedOn w:val="Standard"/>
  </w:style>
  <w:style w:type="paragraph" w:customStyle="1" w:styleId="ab">
    <w:name w:val="Верхній колонтитул"/>
    <w:basedOn w:val="Standard"/>
    <w:pPr>
      <w:suppressLineNumbers/>
      <w:tabs>
        <w:tab w:val="center" w:pos="4819"/>
        <w:tab w:val="right" w:pos="9639"/>
      </w:tabs>
      <w:spacing w:after="0" w:line="240" w:lineRule="auto"/>
    </w:pPr>
  </w:style>
  <w:style w:type="paragraph" w:customStyle="1" w:styleId="ac">
    <w:name w:val="Нижній колонтитул"/>
    <w:basedOn w:val="Standard"/>
    <w:pPr>
      <w:suppressLineNumbers/>
      <w:tabs>
        <w:tab w:val="center" w:pos="4819"/>
        <w:tab w:val="right" w:pos="9639"/>
      </w:tabs>
      <w:spacing w:after="0" w:line="240" w:lineRule="auto"/>
    </w:pPr>
  </w:style>
  <w:style w:type="paragraph" w:customStyle="1" w:styleId="Style7">
    <w:name w:val="Style7"/>
    <w:basedOn w:val="Standar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d">
    <w:name w:val="Вміст таблиці"/>
    <w:basedOn w:val="Standard"/>
    <w:pPr>
      <w:widowControl w:val="0"/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Без інтервалів"/>
    <w:pPr>
      <w:widowControl/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екст у вказаному форматі"/>
    <w:basedOn w:val="Standard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1">
    <w:name w:val="Шрифт абзацу за замовчуванням"/>
  </w:style>
  <w:style w:type="character" w:customStyle="1" w:styleId="30">
    <w:name w:val="Заголовок 3 Знак"/>
    <w:basedOn w:val="af1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f2">
    <w:name w:val="Текст выноски Знак"/>
    <w:basedOn w:val="af1"/>
    <w:rPr>
      <w:rFonts w:ascii="Tahoma" w:eastAsia="Tahoma" w:hAnsi="Tahoma" w:cs="Tahoma"/>
      <w:sz w:val="16"/>
      <w:szCs w:val="16"/>
    </w:rPr>
  </w:style>
  <w:style w:type="character" w:customStyle="1" w:styleId="40">
    <w:name w:val="Заголовок 4 Знак"/>
    <w:basedOn w:val="af1"/>
    <w:rPr>
      <w:rFonts w:ascii="Cambria" w:eastAsia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f1"/>
    <w:rPr>
      <w:rFonts w:ascii="Cambria" w:eastAsia="Cambria" w:hAnsi="Cambria" w:cs="Cambria"/>
      <w:color w:val="243F60"/>
    </w:rPr>
  </w:style>
  <w:style w:type="character" w:customStyle="1" w:styleId="af3">
    <w:name w:val="Верхний колонтитул Знак"/>
    <w:basedOn w:val="af1"/>
  </w:style>
  <w:style w:type="character" w:customStyle="1" w:styleId="af4">
    <w:name w:val="Нижний колонтитул Знак"/>
    <w:basedOn w:val="af1"/>
  </w:style>
  <w:style w:type="character" w:customStyle="1" w:styleId="FontStyle15">
    <w:name w:val="Font Style15"/>
    <w:basedOn w:val="af1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17">
    <w:name w:val="Font Style17"/>
    <w:basedOn w:val="af1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5">
    <w:name w:val="Виділення жирним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&#1056;&#1110;&#1096;&#1077;&#1085;&#1085;&#1103;%20&#1042;&#1050;%20&#1050;&#1052;&#1056;%20&#1097;&#1086;&#1076;&#1086;%20&#1089;&#1090;&#1074;&#1086;&#1088;&#1077;&#1085;&#1085;&#1103;%20&#1087;&#1088;&#1086;&#1090;&#1080;&#1077;&#1087;&#1110;&#1079;&#1086;&#1086;&#1090;&#1080;&#1095;&#1085;&#1086;&#1111;%20&#1082;&#1086;&#1084;&#1110;&#1089;&#1110;&#1111;%2003.04.2023%20(1)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3256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2023-05-03T07:56:00Z</cp:lastPrinted>
  <dcterms:created xsi:type="dcterms:W3CDTF">2023-05-04T08:02:00Z</dcterms:created>
  <dcterms:modified xsi:type="dcterms:W3CDTF">2023-05-04T08:02:00Z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