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24" w:rsidRPr="00857330" w:rsidRDefault="00CB0024" w:rsidP="00CB002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CB0024" w:rsidRPr="00857330" w:rsidRDefault="00CB0024" w:rsidP="00CB002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CB0024" w:rsidRPr="00857330" w:rsidRDefault="00CB0024" w:rsidP="00CB002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CB0024" w:rsidRPr="00857330" w:rsidRDefault="00956D81" w:rsidP="00CB0024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EFBD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CB0024" w:rsidRPr="00857330" w:rsidRDefault="00CB0024" w:rsidP="00CB0024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CB0024" w:rsidRDefault="00CB0024" w:rsidP="00CB0024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CB0024" w:rsidRDefault="00CB0024" w:rsidP="00CB002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FE23B8" w:rsidRDefault="00FE23B8" w:rsidP="004E71AB">
      <w:pPr>
        <w:ind w:right="5243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</w:t>
      </w:r>
      <w:r w:rsidR="00FA5B7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централізованого водовідведення комунальному підприємству «Калуська </w:t>
      </w:r>
      <w:r w:rsidR="003301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енергетична Компанія» Калуської міської ради на 2023 рік.</w:t>
      </w:r>
    </w:p>
    <w:p w:rsidR="004E71AB" w:rsidRDefault="004E71AB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1AB" w:rsidRDefault="004E71AB" w:rsidP="004E71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ст.28,ч.6 ст. 59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розглянувши заяву </w:t>
      </w:r>
      <w:r w:rsidR="0048581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вста</w:t>
      </w:r>
      <w:r w:rsidR="00485814">
        <w:rPr>
          <w:rFonts w:ascii="Times New Roman" w:hAnsi="Times New Roman"/>
          <w:sz w:val="28"/>
          <w:szCs w:val="28"/>
        </w:rPr>
        <w:t xml:space="preserve">новлення тарифів від 20.10.2022 № 4663/02-26/23 </w:t>
      </w:r>
      <w:r>
        <w:rPr>
          <w:rFonts w:ascii="Times New Roman" w:hAnsi="Times New Roman"/>
          <w:sz w:val="28"/>
          <w:szCs w:val="28"/>
        </w:rPr>
        <w:t>директора комунального підприємства «Калуська енергетична Компанія» Калуської міської ради Петра Шевчука,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4E71AB" w:rsidRDefault="004E71AB" w:rsidP="004E71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71AB" w:rsidRDefault="004E71AB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97E16" w:rsidRDefault="00097E16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E71AB" w:rsidRPr="00334AD1" w:rsidRDefault="00334AD1" w:rsidP="00334AD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53CD2">
        <w:rPr>
          <w:sz w:val="28"/>
          <w:szCs w:val="28"/>
          <w:lang w:val="uk-UA"/>
        </w:rPr>
        <w:t xml:space="preserve"> </w:t>
      </w:r>
      <w:r w:rsidR="004E71AB" w:rsidRPr="00334AD1">
        <w:rPr>
          <w:sz w:val="28"/>
          <w:szCs w:val="28"/>
          <w:lang w:val="uk-UA"/>
        </w:rPr>
        <w:t>Встановити комунальному підприємству «Калуська енергетична Компанія» К</w:t>
      </w:r>
      <w:r w:rsidR="0033011C">
        <w:rPr>
          <w:sz w:val="28"/>
          <w:szCs w:val="28"/>
          <w:lang w:val="uk-UA"/>
        </w:rPr>
        <w:t>алуської міської ради тарифи на</w:t>
      </w:r>
      <w:r w:rsidR="004E71AB" w:rsidRPr="00334AD1">
        <w:rPr>
          <w:sz w:val="28"/>
          <w:szCs w:val="28"/>
          <w:lang w:val="uk-UA"/>
        </w:rPr>
        <w:t>:</w:t>
      </w:r>
    </w:p>
    <w:p w:rsidR="004F2177" w:rsidRPr="00853CD2" w:rsidRDefault="004F2177" w:rsidP="00853CD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3CD2">
        <w:rPr>
          <w:sz w:val="28"/>
          <w:szCs w:val="28"/>
          <w:lang w:val="uk-UA"/>
        </w:rPr>
        <w:t>- централізован</w:t>
      </w:r>
      <w:r w:rsidR="00853CD2">
        <w:rPr>
          <w:sz w:val="28"/>
          <w:szCs w:val="28"/>
          <w:lang w:val="uk-UA"/>
        </w:rPr>
        <w:t>е</w:t>
      </w:r>
      <w:r w:rsidRPr="00853CD2">
        <w:rPr>
          <w:sz w:val="28"/>
          <w:szCs w:val="28"/>
          <w:lang w:val="uk-UA"/>
        </w:rPr>
        <w:t xml:space="preserve"> водопостачання – 15,80 за 1 куб.м.</w:t>
      </w:r>
      <w:r w:rsidR="00853CD2">
        <w:rPr>
          <w:sz w:val="28"/>
          <w:szCs w:val="28"/>
          <w:lang w:val="uk-UA"/>
        </w:rPr>
        <w:t xml:space="preserve"> </w:t>
      </w:r>
      <w:r w:rsidRPr="00853CD2">
        <w:rPr>
          <w:sz w:val="28"/>
          <w:szCs w:val="28"/>
          <w:lang w:val="uk-UA"/>
        </w:rPr>
        <w:t>(без податку на додану вартість)</w:t>
      </w:r>
      <w:r w:rsidR="00853CD2">
        <w:rPr>
          <w:sz w:val="28"/>
          <w:szCs w:val="28"/>
          <w:lang w:val="uk-UA"/>
        </w:rPr>
        <w:t>;</w:t>
      </w:r>
    </w:p>
    <w:p w:rsidR="00853CD2" w:rsidRDefault="004F2177" w:rsidP="00853CD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3CD2">
        <w:rPr>
          <w:sz w:val="28"/>
          <w:szCs w:val="28"/>
          <w:lang w:val="uk-UA"/>
        </w:rPr>
        <w:t>- централізован</w:t>
      </w:r>
      <w:r w:rsidR="00853CD2">
        <w:rPr>
          <w:sz w:val="28"/>
          <w:szCs w:val="28"/>
          <w:lang w:val="uk-UA"/>
        </w:rPr>
        <w:t>е</w:t>
      </w:r>
      <w:r w:rsidRPr="00853CD2">
        <w:rPr>
          <w:sz w:val="28"/>
          <w:szCs w:val="28"/>
          <w:lang w:val="uk-UA"/>
        </w:rPr>
        <w:t xml:space="preserve"> водовідведення – 16,22 за 1 куб.м.</w:t>
      </w:r>
      <w:r w:rsidR="00853C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(без податку на додану вартість)</w:t>
      </w:r>
      <w:r w:rsidR="00853CD2">
        <w:rPr>
          <w:sz w:val="28"/>
          <w:szCs w:val="28"/>
          <w:lang w:val="uk-UA"/>
        </w:rPr>
        <w:t>.</w:t>
      </w:r>
    </w:p>
    <w:p w:rsidR="00853CD2" w:rsidRDefault="00853CD2" w:rsidP="00853CD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34AD1">
        <w:rPr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="00853CD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</w:t>
      </w:r>
      <w:r w:rsidR="004F2177">
        <w:rPr>
          <w:sz w:val="28"/>
          <w:szCs w:val="28"/>
          <w:lang w:val="uk-UA"/>
        </w:rPr>
        <w:t xml:space="preserve"> на послуги</w:t>
      </w:r>
      <w:r>
        <w:rPr>
          <w:sz w:val="28"/>
          <w:szCs w:val="28"/>
          <w:lang w:val="uk-UA"/>
        </w:rPr>
        <w:t>:</w:t>
      </w:r>
    </w:p>
    <w:p w:rsidR="004F2177" w:rsidRDefault="004F2177" w:rsidP="00853CD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централізованого водопостачання – 18,96 за 1 куб.м.</w:t>
      </w:r>
      <w:r w:rsidR="00853C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податком на додану вартість)</w:t>
      </w:r>
      <w:r w:rsidR="00853CD2">
        <w:rPr>
          <w:sz w:val="28"/>
          <w:szCs w:val="28"/>
          <w:lang w:val="uk-UA"/>
        </w:rPr>
        <w:t>;</w:t>
      </w:r>
    </w:p>
    <w:p w:rsidR="004E71AB" w:rsidRDefault="004F2177" w:rsidP="00853CD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централізованого водовідведення – 19,46 за 1 куб.м.</w:t>
      </w:r>
      <w:r w:rsidR="00853C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податком на додану вартість)</w:t>
      </w:r>
      <w:r w:rsidR="00853CD2">
        <w:rPr>
          <w:sz w:val="28"/>
          <w:szCs w:val="28"/>
          <w:lang w:val="uk-UA"/>
        </w:rPr>
        <w:t>.</w:t>
      </w:r>
    </w:p>
    <w:p w:rsidR="00097E16" w:rsidRDefault="00097E16" w:rsidP="004F2177">
      <w:pPr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4F2177" w:rsidRDefault="004F2177" w:rsidP="00097E1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34AD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</w:t>
      </w:r>
      <w:r w:rsidR="00097E16">
        <w:rPr>
          <w:sz w:val="28"/>
          <w:szCs w:val="28"/>
          <w:lang w:val="uk-UA"/>
        </w:rPr>
        <w:t>централізованого</w:t>
      </w:r>
      <w:r>
        <w:rPr>
          <w:sz w:val="28"/>
          <w:szCs w:val="28"/>
          <w:lang w:val="uk-UA"/>
        </w:rPr>
        <w:t xml:space="preserve"> водовідведення</w:t>
      </w:r>
      <w:r w:rsidR="0033011C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853CD2" w:rsidRDefault="00853CD2" w:rsidP="00097E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33011C" w:rsidP="00190A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E71AB" w:rsidRPr="00853CD2">
        <w:rPr>
          <w:sz w:val="28"/>
          <w:szCs w:val="28"/>
          <w:lang w:val="uk-UA"/>
        </w:rPr>
        <w:t xml:space="preserve">. </w:t>
      </w:r>
      <w:r w:rsidRPr="00853CD2">
        <w:rPr>
          <w:sz w:val="28"/>
          <w:szCs w:val="28"/>
          <w:lang w:val="uk-UA"/>
        </w:rPr>
        <w:t>Т</w:t>
      </w:r>
      <w:r w:rsidR="00190A66" w:rsidRPr="00853CD2">
        <w:rPr>
          <w:sz w:val="28"/>
          <w:szCs w:val="28"/>
          <w:lang w:val="uk-UA"/>
        </w:rPr>
        <w:t>ариф</w:t>
      </w:r>
      <w:r w:rsidR="00190A66">
        <w:rPr>
          <w:sz w:val="28"/>
          <w:szCs w:val="28"/>
          <w:lang w:val="uk-UA"/>
        </w:rPr>
        <w:t xml:space="preserve"> на послуги з централізованого водопостачання та централізованого водовідведення ввести в дію з 01.01.2023 року.</w:t>
      </w:r>
    </w:p>
    <w:p w:rsidR="00853CD2" w:rsidRDefault="00853CD2" w:rsidP="00190A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90A66" w:rsidRDefault="0033011C" w:rsidP="00190A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E71AB" w:rsidRPr="00334AD1">
        <w:rPr>
          <w:sz w:val="28"/>
          <w:szCs w:val="28"/>
          <w:lang w:val="uk-UA"/>
        </w:rPr>
        <w:t>.</w:t>
      </w:r>
      <w:r w:rsidR="004E71AB">
        <w:rPr>
          <w:b/>
          <w:sz w:val="28"/>
          <w:szCs w:val="28"/>
          <w:lang w:val="uk-UA"/>
        </w:rPr>
        <w:t xml:space="preserve"> </w:t>
      </w:r>
      <w:r w:rsidR="00190A66">
        <w:rPr>
          <w:sz w:val="28"/>
          <w:szCs w:val="28"/>
        </w:rPr>
        <w:t>Рішення набирає чинності з дня його оприлюднення</w:t>
      </w:r>
      <w:r w:rsidR="00190A66">
        <w:rPr>
          <w:sz w:val="28"/>
          <w:szCs w:val="28"/>
          <w:lang w:val="uk-UA"/>
        </w:rPr>
        <w:t xml:space="preserve"> згідно чинного законодавства України</w:t>
      </w:r>
      <w:r w:rsidR="00FE147E">
        <w:rPr>
          <w:sz w:val="28"/>
          <w:szCs w:val="28"/>
          <w:lang w:val="uk-UA"/>
        </w:rPr>
        <w:t>.</w:t>
      </w:r>
    </w:p>
    <w:p w:rsidR="00853CD2" w:rsidRDefault="00853CD2" w:rsidP="00190A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011C" w:rsidRDefault="0033011C" w:rsidP="0033011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34AD1">
        <w:rPr>
          <w:sz w:val="28"/>
          <w:szCs w:val="28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Рішення виконавчого комітету міської ради від 26.10.2021 №293</w:t>
      </w:r>
      <w:r>
        <w:rPr>
          <w:sz w:val="28"/>
          <w:szCs w:val="28"/>
          <w:lang w:val="uk-UA"/>
        </w:rPr>
        <w:t xml:space="preserve"> «Про встановлення тарифів на послуги з централізованого водопостачання і централізованого водовідведення комунальному підприємству «Калуська енергетична Компанія» Калуської міської ради на 2021-2022 роки» вважати таким, що втратило чинність з 01.01.202</w:t>
      </w:r>
      <w:r w:rsidR="00C025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року.</w:t>
      </w:r>
    </w:p>
    <w:p w:rsidR="00853CD2" w:rsidRDefault="00853CD2" w:rsidP="0033011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E147E" w:rsidRDefault="0033011C" w:rsidP="00FE147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E147E" w:rsidRPr="00334AD1">
        <w:rPr>
          <w:sz w:val="28"/>
          <w:szCs w:val="28"/>
          <w:lang w:val="uk-UA"/>
        </w:rPr>
        <w:t>.</w:t>
      </w:r>
      <w:r w:rsidR="00FE147E">
        <w:rPr>
          <w:sz w:val="28"/>
          <w:szCs w:val="28"/>
          <w:lang w:val="uk-UA"/>
        </w:rPr>
        <w:t xml:space="preserve"> 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</w:t>
      </w:r>
      <w:r w:rsidR="00C025B2">
        <w:rPr>
          <w:sz w:val="28"/>
          <w:szCs w:val="28"/>
          <w:lang w:val="uk-UA"/>
        </w:rPr>
        <w:t xml:space="preserve"> послуги з </w:t>
      </w:r>
      <w:r w:rsidR="00FE147E">
        <w:rPr>
          <w:sz w:val="28"/>
          <w:szCs w:val="28"/>
          <w:lang w:val="uk-UA"/>
        </w:rPr>
        <w:t>централізован</w:t>
      </w:r>
      <w:r w:rsidR="00C025B2">
        <w:rPr>
          <w:sz w:val="28"/>
          <w:szCs w:val="28"/>
          <w:lang w:val="uk-UA"/>
        </w:rPr>
        <w:t>ого</w:t>
      </w:r>
      <w:r w:rsidR="00FE147E">
        <w:rPr>
          <w:sz w:val="28"/>
          <w:szCs w:val="28"/>
          <w:lang w:val="uk-UA"/>
        </w:rPr>
        <w:t xml:space="preserve"> водопостачання і централізован</w:t>
      </w:r>
      <w:r w:rsidR="00C025B2">
        <w:rPr>
          <w:sz w:val="28"/>
          <w:szCs w:val="28"/>
          <w:lang w:val="uk-UA"/>
        </w:rPr>
        <w:t>ого</w:t>
      </w:r>
      <w:r w:rsidR="00FE147E">
        <w:rPr>
          <w:sz w:val="28"/>
          <w:szCs w:val="28"/>
          <w:lang w:val="uk-UA"/>
        </w:rPr>
        <w:t xml:space="preserve"> водовідведення згідно чинного законодавства України.</w:t>
      </w:r>
    </w:p>
    <w:p w:rsidR="00853CD2" w:rsidRDefault="00853CD2" w:rsidP="00FE147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</w:rPr>
      </w:pPr>
      <w:r w:rsidRPr="00334AD1">
        <w:rPr>
          <w:sz w:val="28"/>
          <w:szCs w:val="28"/>
          <w:lang w:val="uk-UA"/>
        </w:rPr>
        <w:t>9</w:t>
      </w:r>
      <w:r w:rsidRPr="00334AD1">
        <w:rPr>
          <w:sz w:val="28"/>
          <w:szCs w:val="28"/>
        </w:rPr>
        <w:t>.</w:t>
      </w:r>
      <w:r w:rsidRPr="00334AD1">
        <w:rPr>
          <w:sz w:val="28"/>
          <w:szCs w:val="28"/>
          <w:lang w:val="uk-UA"/>
        </w:rPr>
        <w:t xml:space="preserve"> </w:t>
      </w:r>
      <w:r w:rsidRPr="00334AD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виконанням цього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</w:rPr>
        <w:t>.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4AD1" w:rsidRDefault="00334AD1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4AD1" w:rsidRPr="00334AD1" w:rsidRDefault="00334AD1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334AD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Андрій НАЙДА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800FC" w:rsidRDefault="002800FC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C0191" w:rsidRDefault="00EC019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960E6B" w:rsidRDefault="00960E6B" w:rsidP="00960E6B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816C2C" w:rsidRPr="00BC0CFD" w:rsidRDefault="00816C2C" w:rsidP="00816C2C">
      <w:pPr>
        <w:pStyle w:val="a3"/>
        <w:ind w:left="6372" w:firstLine="708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816C2C" w:rsidRPr="00BC0CFD" w:rsidRDefault="00816C2C" w:rsidP="00816C2C">
      <w:pPr>
        <w:pStyle w:val="a3"/>
        <w:ind w:left="4956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BC0CFD">
        <w:rPr>
          <w:sz w:val="28"/>
          <w:szCs w:val="28"/>
          <w:lang w:val="uk-UA"/>
        </w:rPr>
        <w:t xml:space="preserve">до рішення виконавчого комітету </w:t>
      </w:r>
    </w:p>
    <w:p w:rsidR="00816C2C" w:rsidRPr="00BC0CFD" w:rsidRDefault="00816C2C" w:rsidP="00816C2C">
      <w:pPr>
        <w:pStyle w:val="a3"/>
        <w:ind w:left="7080" w:firstLine="708"/>
        <w:contextualSpacing/>
        <w:rPr>
          <w:sz w:val="28"/>
          <w:szCs w:val="28"/>
          <w:lang w:val="uk-UA"/>
        </w:rPr>
      </w:pPr>
      <w:r w:rsidRPr="00BC0CFD">
        <w:rPr>
          <w:sz w:val="28"/>
          <w:szCs w:val="28"/>
          <w:lang w:val="uk-UA"/>
        </w:rPr>
        <w:t>міської ради</w:t>
      </w:r>
    </w:p>
    <w:p w:rsidR="00816C2C" w:rsidRPr="00BC0CFD" w:rsidRDefault="00816C2C" w:rsidP="00816C2C">
      <w:pPr>
        <w:pStyle w:val="a3"/>
        <w:spacing w:before="0" w:beforeAutospacing="0" w:after="0" w:afterAutospacing="0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Pr="00BC0CFD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083"/>
        <w:gridCol w:w="1311"/>
        <w:gridCol w:w="54"/>
        <w:gridCol w:w="911"/>
        <w:gridCol w:w="736"/>
        <w:gridCol w:w="992"/>
        <w:gridCol w:w="1560"/>
        <w:gridCol w:w="657"/>
        <w:gridCol w:w="335"/>
        <w:gridCol w:w="425"/>
      </w:tblGrid>
      <w:tr w:rsidR="00816C2C" w:rsidRPr="00FD70AC" w:rsidTr="00C13A55">
        <w:trPr>
          <w:trHeight w:val="629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C2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lang w:val="uk-UA" w:eastAsia="uk-UA"/>
              </w:rPr>
              <w:t>Структура тарифів на послугу з централізованого водопостачання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="0001253F">
              <w:rPr>
                <w:b/>
                <w:bCs/>
                <w:color w:val="000000"/>
                <w:lang w:val="uk-UA" w:eastAsia="uk-UA"/>
              </w:rPr>
              <w:t>та</w:t>
            </w:r>
          </w:p>
          <w:p w:rsidR="00816C2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централізованого водовідведення</w:t>
            </w:r>
          </w:p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                           </w:t>
            </w:r>
            <w:r w:rsidRPr="00FD70AC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lang w:val="uk-UA" w:eastAsia="uk-UA"/>
              </w:rPr>
              <w:t>комунального підприємства «Калуська енергетична Компанія»</w:t>
            </w:r>
          </w:p>
        </w:tc>
      </w:tr>
      <w:tr w:rsidR="00816C2C" w:rsidRPr="00FD70AC" w:rsidTr="00C13A55">
        <w:trPr>
          <w:gridAfter w:val="2"/>
          <w:wAfter w:w="760" w:type="dxa"/>
          <w:trHeight w:val="314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2C" w:rsidRPr="00FD70AC" w:rsidRDefault="00816C2C" w:rsidP="00816C2C">
            <w:pPr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2C" w:rsidRPr="00FD70AC" w:rsidRDefault="00816C2C" w:rsidP="00816C2C">
            <w:pPr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2C" w:rsidRPr="00FD70AC" w:rsidRDefault="00816C2C" w:rsidP="00816C2C">
            <w:pPr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2C" w:rsidRPr="00FD70AC" w:rsidRDefault="00816C2C" w:rsidP="00816C2C">
            <w:pPr>
              <w:spacing w:line="216" w:lineRule="auto"/>
              <w:rPr>
                <w:i/>
                <w:iCs/>
                <w:color w:val="333333"/>
                <w:lang w:val="uk-UA" w:eastAsia="uk-UA"/>
              </w:rPr>
            </w:pPr>
            <w:r w:rsidRPr="00FD70AC">
              <w:rPr>
                <w:i/>
                <w:iCs/>
                <w:color w:val="333333"/>
                <w:sz w:val="22"/>
                <w:szCs w:val="22"/>
                <w:lang w:val="uk-UA" w:eastAsia="uk-UA"/>
              </w:rPr>
              <w:t xml:space="preserve">(без податку на додану </w:t>
            </w:r>
            <w:r w:rsidRPr="00282B1C">
              <w:rPr>
                <w:i/>
                <w:iCs/>
                <w:color w:val="333333"/>
                <w:sz w:val="22"/>
                <w:szCs w:val="22"/>
                <w:lang w:val="uk-UA" w:eastAsia="uk-UA"/>
              </w:rPr>
              <w:t>в</w:t>
            </w:r>
            <w:r w:rsidRPr="00FD70AC">
              <w:rPr>
                <w:i/>
                <w:iCs/>
                <w:color w:val="333333"/>
                <w:sz w:val="22"/>
                <w:szCs w:val="22"/>
                <w:lang w:val="uk-UA" w:eastAsia="uk-UA"/>
              </w:rPr>
              <w:t>артість)</w:t>
            </w:r>
          </w:p>
        </w:tc>
      </w:tr>
      <w:tr w:rsidR="00816C2C" w:rsidRPr="00FD70AC" w:rsidTr="00C13A55">
        <w:trPr>
          <w:gridAfter w:val="1"/>
          <w:wAfter w:w="425" w:type="dxa"/>
          <w:trHeight w:val="9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№з/п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Найменування показників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Послуга з централізованого водопостачання планований тариф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Послуга з централізованого водо</w:t>
            </w:r>
            <w:r w:rsidRPr="00B765D7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відведення  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планований тариф</w:t>
            </w:r>
          </w:p>
        </w:tc>
      </w:tr>
      <w:tr w:rsidR="00816C2C" w:rsidRPr="00FD70AC" w:rsidTr="00C13A55">
        <w:trPr>
          <w:gridAfter w:val="1"/>
          <w:wAfter w:w="425" w:type="dxa"/>
          <w:trHeight w:val="3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тис.грн</w:t>
            </w: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.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на 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г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рн</w:t>
            </w: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.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/м</w:t>
            </w:r>
            <w:r w:rsidRPr="00FD70AC">
              <w:rPr>
                <w:bCs/>
                <w:color w:val="000000"/>
                <w:sz w:val="22"/>
                <w:szCs w:val="22"/>
                <w:vertAlign w:val="superscript"/>
                <w:lang w:val="uk-UA"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тис.грн</w:t>
            </w: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.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на  рік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г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рн</w:t>
            </w: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.</w:t>
            </w: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/м</w:t>
            </w:r>
            <w:r w:rsidRPr="00FD70AC">
              <w:rPr>
                <w:bCs/>
                <w:color w:val="000000"/>
                <w:sz w:val="22"/>
                <w:szCs w:val="22"/>
                <w:vertAlign w:val="superscript"/>
                <w:lang w:val="uk-UA" w:eastAsia="uk-UA"/>
              </w:rPr>
              <w:t>3</w:t>
            </w:r>
          </w:p>
        </w:tc>
      </w:tr>
      <w:tr w:rsidR="00816C2C" w:rsidRPr="00FD70AC" w:rsidTr="00C13A55">
        <w:trPr>
          <w:gridAfter w:val="1"/>
          <w:wAfter w:w="425" w:type="dxa"/>
          <w:trHeight w:val="3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23661,60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24587,57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13,66</w:t>
            </w:r>
          </w:p>
        </w:tc>
      </w:tr>
      <w:tr w:rsidR="00816C2C" w:rsidRPr="00FD70AC" w:rsidTr="00C13A55">
        <w:trPr>
          <w:gridAfter w:val="1"/>
          <w:wAfter w:w="425" w:type="dxa"/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прямі матеріальні витрати, 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зокрема</w:t>
            </w: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11019,71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14457,96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8,03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8054,76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4696,46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2,61</w:t>
            </w:r>
          </w:p>
        </w:tc>
      </w:tr>
      <w:tr w:rsidR="00816C2C" w:rsidRPr="00FD70AC" w:rsidTr="00C13A55">
        <w:trPr>
          <w:gridAfter w:val="1"/>
          <w:wAfter w:w="425" w:type="dxa"/>
          <w:trHeight w:val="10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0,0033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8325,12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4,62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2958,41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1436,38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0,80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7854,91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6520,79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3,62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інші прямі витрати, 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зокрема</w:t>
            </w: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2801,02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1545,14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0,86</w:t>
            </w:r>
          </w:p>
        </w:tc>
      </w:tr>
      <w:tr w:rsidR="00816C2C" w:rsidRPr="00FD70AC" w:rsidTr="00C13A55">
        <w:trPr>
          <w:gridAfter w:val="1"/>
          <w:wAfter w:w="425" w:type="dxa"/>
          <w:trHeight w:val="6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1676,14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1415,40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0,79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1124,88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129,74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154EC6">
              <w:rPr>
                <w:color w:val="000000"/>
                <w:sz w:val="22"/>
                <w:szCs w:val="22"/>
                <w:lang w:val="uk-UA" w:eastAsia="uk-UA"/>
              </w:rPr>
              <w:t>0,07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1985,96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2063,68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1,15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2607,03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1,45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59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DD599C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D599C">
              <w:rPr>
                <w:b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26170,44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27194,60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15,11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lang w:val="uk-UA" w:eastAsia="uk-UA"/>
              </w:rPr>
            </w:pPr>
            <w:r w:rsidRPr="00FD70AC">
              <w:rPr>
                <w:b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lang w:val="uk-UA" w:eastAsia="uk-UA"/>
              </w:rPr>
            </w:pPr>
            <w:r w:rsidRPr="00FD70AC">
              <w:rPr>
                <w:b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5644,21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1,11</w:t>
            </w:r>
          </w:p>
        </w:tc>
      </w:tr>
      <w:tr w:rsidR="00816C2C" w:rsidRPr="00FD70AC" w:rsidTr="00C13A55">
        <w:trPr>
          <w:gridAfter w:val="1"/>
          <w:wAfter w:w="425" w:type="dxa"/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8.1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 xml:space="preserve">податок на прибуток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860,98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306,18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0,17</w:t>
            </w:r>
          </w:p>
        </w:tc>
      </w:tr>
      <w:tr w:rsidR="00816C2C" w:rsidRPr="00FD70AC" w:rsidTr="00C13A55">
        <w:trPr>
          <w:gridAfter w:val="1"/>
          <w:wAfter w:w="425" w:type="dxa"/>
          <w:trHeight w:val="3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8.2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чистий прибуток, зокрема: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4783,23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1701,00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0,94</w:t>
            </w:r>
          </w:p>
        </w:tc>
      </w:tr>
      <w:tr w:rsidR="00816C2C" w:rsidRPr="00FD70AC" w:rsidTr="00C13A55">
        <w:trPr>
          <w:gridAfter w:val="1"/>
          <w:wAfter w:w="425" w:type="dxa"/>
          <w:trHeight w:val="4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8.2.1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3739,23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614,00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0,34</w:t>
            </w:r>
          </w:p>
        </w:tc>
      </w:tr>
      <w:tr w:rsidR="00816C2C" w:rsidRPr="00FD70AC" w:rsidTr="00C13A55">
        <w:trPr>
          <w:gridAfter w:val="1"/>
          <w:wAfter w:w="425" w:type="dxa"/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lang w:val="uk-UA" w:eastAsia="uk-UA"/>
              </w:rPr>
            </w:pPr>
            <w:r w:rsidRPr="00FD70AC">
              <w:rPr>
                <w:sz w:val="22"/>
                <w:szCs w:val="22"/>
                <w:lang w:val="uk-UA" w:eastAsia="uk-UA"/>
              </w:rPr>
              <w:t>8.2.2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color w:val="000000"/>
                <w:lang w:val="uk-UA" w:eastAsia="uk-UA"/>
              </w:rPr>
            </w:pPr>
            <w:r w:rsidRPr="00FD70AC">
              <w:rPr>
                <w:color w:val="000000"/>
                <w:sz w:val="22"/>
                <w:szCs w:val="22"/>
                <w:lang w:val="uk-UA" w:eastAsia="uk-UA"/>
              </w:rPr>
              <w:t xml:space="preserve">інше використання прибутку обігові кошти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1044,00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FD70AC">
              <w:rPr>
                <w:bCs/>
                <w:color w:val="000000"/>
                <w:sz w:val="22"/>
                <w:szCs w:val="22"/>
                <w:lang w:val="uk-UA" w:eastAsia="uk-UA"/>
              </w:rPr>
              <w:t>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1087,00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54EC6">
              <w:rPr>
                <w:bCs/>
                <w:color w:val="000000"/>
                <w:sz w:val="22"/>
                <w:szCs w:val="22"/>
                <w:lang w:val="uk-UA" w:eastAsia="uk-UA"/>
              </w:rPr>
              <w:t>0,60</w:t>
            </w:r>
          </w:p>
        </w:tc>
      </w:tr>
      <w:tr w:rsidR="00816C2C" w:rsidRPr="00FD70AC" w:rsidTr="00C13A55">
        <w:trPr>
          <w:gridAfter w:val="1"/>
          <w:wAfter w:w="425" w:type="dxa"/>
          <w:trHeight w:val="4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централізованого водопостачання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/ водовідведення</w:t>
            </w: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, тис.грн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31814,65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29201,78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16,22</w:t>
            </w:r>
          </w:p>
        </w:tc>
      </w:tr>
      <w:tr w:rsidR="00816C2C" w:rsidRPr="00FD70AC" w:rsidTr="00C13A55">
        <w:trPr>
          <w:gridAfter w:val="1"/>
          <w:wAfter w:w="425" w:type="dxa"/>
          <w:trHeight w:val="3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Обсяг реалізації, тис.м</w:t>
            </w:r>
            <w:r w:rsidRPr="00FD70AC">
              <w:rPr>
                <w:b/>
                <w:bCs/>
                <w:color w:val="000000"/>
                <w:sz w:val="22"/>
                <w:szCs w:val="22"/>
                <w:vertAlign w:val="superscript"/>
                <w:lang w:val="uk-UA" w:eastAsia="uk-UA"/>
              </w:rPr>
              <w:t>3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2013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C2C" w:rsidRPr="00DE6A86" w:rsidRDefault="00816C2C" w:rsidP="00816C2C">
            <w:pPr>
              <w:spacing w:line="216" w:lineRule="auto"/>
              <w:jc w:val="center"/>
              <w:rPr>
                <w:b/>
                <w:color w:val="000000"/>
                <w:lang w:val="uk-UA" w:eastAsia="uk-UA"/>
              </w:rPr>
            </w:pPr>
            <w:r w:rsidRPr="00DE6A86">
              <w:rPr>
                <w:b/>
                <w:color w:val="000000"/>
                <w:sz w:val="22"/>
                <w:szCs w:val="22"/>
                <w:lang w:val="uk-UA" w:eastAsia="uk-UA"/>
              </w:rPr>
              <w:t>1800</w:t>
            </w:r>
          </w:p>
        </w:tc>
      </w:tr>
      <w:tr w:rsidR="00816C2C" w:rsidRPr="00FD70AC" w:rsidTr="00C13A55">
        <w:trPr>
          <w:gridAfter w:val="1"/>
          <w:wAfter w:w="425" w:type="dxa"/>
          <w:trHeight w:val="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 послугу з централізованого  водопостачання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/централізованого водовідведення</w:t>
            </w: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, грн/м</w:t>
            </w:r>
            <w:r w:rsidRPr="00FD70AC">
              <w:rPr>
                <w:b/>
                <w:bCs/>
                <w:color w:val="000000"/>
                <w:sz w:val="22"/>
                <w:szCs w:val="22"/>
                <w:vertAlign w:val="superscript"/>
                <w:lang w:val="uk-UA" w:eastAsia="uk-UA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FD70AC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D70A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15,80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2C" w:rsidRPr="00154EC6" w:rsidRDefault="00816C2C" w:rsidP="00816C2C">
            <w:pPr>
              <w:spacing w:line="21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54EC6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16,22</w:t>
            </w:r>
          </w:p>
        </w:tc>
      </w:tr>
    </w:tbl>
    <w:p w:rsidR="00960E6B" w:rsidRDefault="00960E6B" w:rsidP="00EC0191">
      <w:pPr>
        <w:jc w:val="both"/>
        <w:rPr>
          <w:color w:val="000000"/>
          <w:lang w:val="uk-UA" w:eastAsia="uk-UA"/>
        </w:rPr>
      </w:pPr>
    </w:p>
    <w:p w:rsidR="00EC0191" w:rsidRPr="00BA3B49" w:rsidRDefault="00EC0191" w:rsidP="00EC0191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Заступник міського голови                                      </w:t>
      </w:r>
      <w:r w:rsidR="00A87AF7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Надія Г</w:t>
      </w:r>
      <w:r w:rsidR="00A87AF7">
        <w:rPr>
          <w:rFonts w:ascii="Times New Roman CYR" w:hAnsi="Times New Roman CYR" w:cs="Times New Roman CYR"/>
          <w:sz w:val="28"/>
          <w:szCs w:val="28"/>
          <w:lang w:val="uk-UA"/>
        </w:rPr>
        <w:t>УШ</w:t>
      </w:r>
    </w:p>
    <w:sectPr w:rsidR="00EC0191" w:rsidRPr="00BA3B49" w:rsidSect="00334A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D"/>
    <w:rsid w:val="00001BAF"/>
    <w:rsid w:val="0001253F"/>
    <w:rsid w:val="00097E16"/>
    <w:rsid w:val="001023F6"/>
    <w:rsid w:val="00190A66"/>
    <w:rsid w:val="002800FC"/>
    <w:rsid w:val="002C0D35"/>
    <w:rsid w:val="002E40BF"/>
    <w:rsid w:val="00303419"/>
    <w:rsid w:val="0033011C"/>
    <w:rsid w:val="00334AD1"/>
    <w:rsid w:val="003B4E59"/>
    <w:rsid w:val="00446EB5"/>
    <w:rsid w:val="0048401A"/>
    <w:rsid w:val="00485814"/>
    <w:rsid w:val="004C45AA"/>
    <w:rsid w:val="004E71AB"/>
    <w:rsid w:val="004F2177"/>
    <w:rsid w:val="00567E36"/>
    <w:rsid w:val="005D4A98"/>
    <w:rsid w:val="00713E1D"/>
    <w:rsid w:val="00775DBF"/>
    <w:rsid w:val="00816C2C"/>
    <w:rsid w:val="00853CD2"/>
    <w:rsid w:val="00903C07"/>
    <w:rsid w:val="00956D81"/>
    <w:rsid w:val="00960E6B"/>
    <w:rsid w:val="00A87AF7"/>
    <w:rsid w:val="00B17D11"/>
    <w:rsid w:val="00C025B2"/>
    <w:rsid w:val="00C33BF5"/>
    <w:rsid w:val="00C758D6"/>
    <w:rsid w:val="00C8551C"/>
    <w:rsid w:val="00CB0024"/>
    <w:rsid w:val="00DB33AF"/>
    <w:rsid w:val="00DD6398"/>
    <w:rsid w:val="00E866CD"/>
    <w:rsid w:val="00EC0191"/>
    <w:rsid w:val="00EE778F"/>
    <w:rsid w:val="00FA5B7E"/>
    <w:rsid w:val="00FA6028"/>
    <w:rsid w:val="00FE147E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41084-D228-475F-B559-F5DCD044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63673-3596-4AF7-A0BC-36FA4F94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3355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2022-12-12T11:04:00Z</cp:lastPrinted>
  <dcterms:created xsi:type="dcterms:W3CDTF">2022-12-12T14:32:00Z</dcterms:created>
  <dcterms:modified xsi:type="dcterms:W3CDTF">2022-12-12T14:32:00Z</dcterms:modified>
</cp:coreProperties>
</file>