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jc w:val="right"/>
        <w:outlineLvl w:val="2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x-none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eastAsia="x-none"/>
        </w:rPr>
        <w:t>Проєкт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2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4"/>
          <w:szCs w:val="24"/>
          <w:lang w:eastAsia="x-none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x-none"/>
        </w:rPr>
        <w:t>УКРАЇНА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2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4"/>
          <w:szCs w:val="24"/>
          <w:lang w:eastAsia="x-none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x-none"/>
        </w:rPr>
        <w:t>КАЛУСЬКА МІСЬКА РАДА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2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4"/>
          <w:szCs w:val="24"/>
          <w:lang w:eastAsia="x-none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x-none"/>
        </w:rPr>
        <w:t>ВИКОНАВЧИЙ КОМІТЕТ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4A96B095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765" cy="635"/>
                <wp:effectExtent l="0" t="19050" r="52070" b="38100"/>
                <wp:wrapNone/>
                <wp:docPr id="1" name="Пряма сполучна ліні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4.75pt,6.3pt" to="566.6pt,6.3pt" ID="Пряма сполучна лінія 2" stroked="t" style="position:absolute;mso-position-horizontal-relative:page" wp14:anchorId="4A96B095">
                <v:stroke color="black" weight="572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keepNext w:val="true"/>
        <w:numPr>
          <w:ilvl w:val="0"/>
          <w:numId w:val="0"/>
        </w:numPr>
        <w:spacing w:lineRule="auto" w:line="360"/>
        <w:jc w:val="center"/>
        <w:outlineLvl w:val="2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4"/>
          <w:szCs w:val="24"/>
          <w:lang w:eastAsia="x-none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x-none"/>
        </w:rPr>
        <w:t>РІШЕННЯ</w:t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x-none"/>
        </w:rPr>
      </w:pPr>
      <w:r>
        <w:rPr>
          <w:rFonts w:eastAsia="Times New Roman" w:cs="Times New Roman" w:ascii="Times New Roman" w:hAnsi="Times New Roman"/>
          <w:color w:val="000000" w:themeColor="text1"/>
          <w:sz w:val="16"/>
          <w:szCs w:val="16"/>
          <w:lang w:eastAsia="x-none"/>
        </w:rPr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__________________ №_____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tbl>
      <w:tblPr>
        <w:tblStyle w:val="a4"/>
        <w:tblW w:w="93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5"/>
        <w:gridCol w:w="4674"/>
      </w:tblGrid>
      <w:tr>
        <w:trPr/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Про призначення уповноваженої особи виконавчого комітету Калуської міської ради та затвердження Положення про уповноважену особу виконавчого комітету Калуської міської ради.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  <w:bookmarkStart w:id="0" w:name="_Hlk75511345"/>
            <w:bookmarkStart w:id="1" w:name="_Hlk75511345"/>
            <w:bookmarkEnd w:id="1"/>
          </w:p>
        </w:tc>
      </w:tr>
    </w:tbl>
    <w:p>
      <w:pPr>
        <w:pStyle w:val="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Керуючись </w:t>
      </w:r>
      <w:bookmarkStart w:id="2" w:name="_Hlk75336727"/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Законом України «Про місцеве самоврядування в Україні», </w:t>
      </w:r>
      <w:bookmarkStart w:id="3" w:name="_Hlk75336831"/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Законом України </w:t>
      </w:r>
      <w:bookmarkStart w:id="4" w:name="_Hlk98418116"/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«Про публічні закупівлі»</w:t>
      </w:r>
      <w:bookmarkEnd w:id="4"/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, </w:t>
      </w:r>
      <w:bookmarkEnd w:id="3"/>
      <w:r>
        <w:rPr>
          <w:rFonts w:cs="Times New Roman" w:ascii="Times New Roman" w:hAnsi="Times New Roman"/>
          <w:color w:val="000000" w:themeColor="text1"/>
          <w:sz w:val="28"/>
          <w:szCs w:val="28"/>
        </w:rPr>
        <w:t>з метою забезпечення максимальної ефективності використання та економії бюджетних коштів, відкритості та прозорості на всіх стадіях закупівлі товарів, робіт та послуг відповідно до наказу Міністерства економіки України від 08.06.2021 №40 «Про затвердження Примірного положення про уповноважену особу»</w:t>
      </w:r>
      <w:bookmarkEnd w:id="2"/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та беручи до уваги службову записку начальника </w:t>
      </w:r>
      <w:bookmarkStart w:id="5" w:name="_Hlk98404889"/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відділу координації роботи зі старостинськими округами, закупівель та комунікацій </w:t>
      </w:r>
      <w:bookmarkEnd w:id="5"/>
      <w:r>
        <w:rPr>
          <w:rFonts w:cs="Times New Roman" w:ascii="Times New Roman" w:hAnsi="Times New Roman"/>
          <w:color w:val="000000" w:themeColor="text1"/>
          <w:sz w:val="28"/>
          <w:szCs w:val="28"/>
        </w:rPr>
        <w:t>виконавчого комітету міської ради Н.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Табачук від 02.11.2022, виконавчий комітет міської ради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ВИРІШИВ: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Призначити уповноважену особу виконавчого комітету Калуської міської ради з питань організації та проведення закупівель / процедур закупівель / спрощених закупівель – Мостову Наталію Олегівну, головного спеціаліста </w:t>
      </w:r>
      <w:bookmarkStart w:id="6" w:name="_Hlk109053579"/>
      <w:r>
        <w:rPr>
          <w:rFonts w:cs="Times New Roman" w:ascii="Times New Roman" w:hAnsi="Times New Roman"/>
          <w:color w:val="000000" w:themeColor="text1"/>
          <w:sz w:val="28"/>
          <w:szCs w:val="28"/>
        </w:rPr>
        <w:t>відділу координиції роботи зі старостинськими округами, закупівель та комунікацій виконавчого комітету міської ради</w:t>
      </w:r>
      <w:bookmarkEnd w:id="6"/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(далі – уповноважена особа).</w:t>
      </w:r>
      <w:bookmarkStart w:id="7" w:name="_Hlk75510440"/>
      <w:bookmarkEnd w:id="7"/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 разі тимчасової відсутності уповноваженої особи, виконання обов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  <w:t>’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язків покласти на:</w:t>
      </w:r>
    </w:p>
    <w:p>
      <w:pPr>
        <w:pStyle w:val="Normal"/>
        <w:ind w:left="720"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-Табачук Наталію Титівну, начальника відділу координації роботи зі старостинськими округами, закупівель та комунікацій виконавчого комітету міської ради.</w:t>
      </w:r>
      <w:bookmarkStart w:id="8" w:name="_Hlk107904498"/>
      <w:bookmarkEnd w:id="8"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Затвердити Положення про уповноважену особу виконавчого комітету Калуської міської ради згідно з додатком.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Вважати таким, що втратило чинність рішення виконавчого комітету міської ради  від 07.09.2022 №195 «Про призначення уповноважених осіб виконавчого комітету Калуської міської ради та затвердження Положення про уповноважених осіб виконавчого комітету Калуської міської ради».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Контроль за виконанням цього рішення покласти на заступника міського голови Надію Гуш.</w:t>
      </w:r>
      <w:bookmarkStart w:id="9" w:name="_Hlk98402236"/>
      <w:bookmarkStart w:id="10" w:name="_Hlk75349884"/>
      <w:bookmarkEnd w:id="9"/>
      <w:bookmarkEnd w:id="10"/>
    </w:p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  <w:bookmarkStart w:id="11" w:name="_Hlk107911520"/>
      <w:bookmarkStart w:id="12" w:name="_Hlk75337795"/>
      <w:bookmarkStart w:id="13" w:name="_Hlk107911520"/>
      <w:bookmarkStart w:id="14" w:name="_Hlk75337795"/>
      <w:bookmarkEnd w:id="13"/>
      <w:bookmarkEnd w:id="14"/>
    </w:p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Міський голова                                                                                           Андрій НАЙДА</w:t>
      </w:r>
      <w:bookmarkStart w:id="15" w:name="_Hlk75337830"/>
      <w:bookmarkEnd w:id="15"/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tabs>
          <w:tab w:val="clear" w:pos="720"/>
          <w:tab w:val="left" w:pos="1524" w:leader="none"/>
        </w:tabs>
        <w:jc w:val="center"/>
        <w:rPr>
          <w:rFonts w:ascii="Times New Roman" w:hAnsi="Times New Roman" w:cs="Times New Roman"/>
          <w:i/>
          <w:i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jc w:val="center"/>
        <w:rPr>
          <w:rFonts w:ascii="Times New Roman" w:hAnsi="Times New Roman" w:cs="Times New Roman"/>
          <w:i/>
          <w:i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jc w:val="center"/>
        <w:rPr>
          <w:rFonts w:ascii="Times New Roman" w:hAnsi="Times New Roman" w:cs="Times New Roman"/>
          <w:i/>
          <w:i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jc w:val="center"/>
        <w:rPr>
          <w:rFonts w:ascii="Times New Roman" w:hAnsi="Times New Roman" w:cs="Times New Roman"/>
          <w:i/>
          <w:i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jc w:val="center"/>
        <w:rPr>
          <w:rFonts w:ascii="Times New Roman" w:hAnsi="Times New Roman" w:cs="Times New Roman"/>
          <w:i/>
          <w:i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jc w:val="center"/>
        <w:rPr>
          <w:rFonts w:ascii="Times New Roman" w:hAnsi="Times New Roman" w:cs="Times New Roman"/>
          <w:i/>
          <w:i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rPr>
          <w:rFonts w:ascii="Times New Roman" w:hAnsi="Times New Roman" w:cs="Times New Roman"/>
          <w:i/>
          <w:i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/>
          <w:color w:val="000000" w:themeColor="text1"/>
          <w:sz w:val="24"/>
          <w:szCs w:val="24"/>
        </w:rPr>
      </w:r>
      <w:bookmarkStart w:id="16" w:name="_Hlk109289824"/>
      <w:bookmarkStart w:id="17" w:name="_Hlk109289824"/>
      <w:bookmarkEnd w:id="17"/>
    </w:p>
    <w:p>
      <w:pPr>
        <w:pStyle w:val="Normal"/>
        <w:tabs>
          <w:tab w:val="clear" w:pos="720"/>
          <w:tab w:val="left" w:pos="1524" w:leader="none"/>
        </w:tabs>
        <w:rPr>
          <w:rFonts w:ascii="Times New Roman" w:hAnsi="Times New Roman" w:cs="Times New Roman"/>
          <w:i/>
          <w:i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rPr>
          <w:rFonts w:ascii="Times New Roman" w:hAnsi="Times New Roman" w:cs="Times New Roman"/>
          <w:i/>
          <w:i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rPr>
          <w:rFonts w:ascii="Times New Roman" w:hAnsi="Times New Roman" w:cs="Times New Roman"/>
          <w:i/>
          <w:i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rPr>
          <w:rFonts w:ascii="Times New Roman" w:hAnsi="Times New Roman" w:cs="Times New Roman"/>
          <w:i/>
          <w:i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rPr>
          <w:rFonts w:ascii="Times New Roman" w:hAnsi="Times New Roman" w:cs="Times New Roman"/>
          <w:i/>
          <w:i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rPr>
          <w:rFonts w:ascii="Times New Roman" w:hAnsi="Times New Roman" w:cs="Times New Roman"/>
          <w:i/>
          <w:i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rPr>
          <w:rFonts w:ascii="Times New Roman" w:hAnsi="Times New Roman" w:cs="Times New Roman"/>
          <w:i/>
          <w:i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rPr>
          <w:rFonts w:ascii="Times New Roman" w:hAnsi="Times New Roman" w:cs="Times New Roman"/>
          <w:i/>
          <w:i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rPr>
          <w:rFonts w:ascii="Times New Roman" w:hAnsi="Times New Roman" w:cs="Times New Roman"/>
          <w:i/>
          <w:i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rPr>
          <w:rFonts w:ascii="Times New Roman" w:hAnsi="Times New Roman" w:cs="Times New Roman"/>
          <w:i/>
          <w:i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rPr>
          <w:rFonts w:ascii="Times New Roman" w:hAnsi="Times New Roman" w:cs="Times New Roman"/>
          <w:i/>
          <w:i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rPr>
          <w:rFonts w:ascii="Times New Roman" w:hAnsi="Times New Roman" w:cs="Times New Roman"/>
          <w:i/>
          <w:i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rPr>
          <w:rFonts w:ascii="Times New Roman" w:hAnsi="Times New Roman" w:cs="Times New Roman"/>
          <w:i/>
          <w:i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/>
          <w:color w:val="000000" w:themeColor="text1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  <w:bookmarkStart w:id="18" w:name="_Hlk98415394"/>
      <w:bookmarkStart w:id="19" w:name="_Hlk98415394"/>
      <w:bookmarkEnd w:id="19"/>
    </w:p>
    <w:p>
      <w:pPr>
        <w:pStyle w:val="Normal"/>
        <w:shd w:val="clear" w:color="auto" w:fill="FFFFFF"/>
        <w:spacing w:before="0" w:after="200"/>
        <w:ind w:right="460" w:hanging="0"/>
        <w:jc w:val="both"/>
        <w:rPr>
          <w:rFonts w:ascii="Times New Roman" w:hAnsi="Times New Roman" w:eastAsia="Times New Roman" w:cs="Times New Roman"/>
          <w:i/>
          <w:i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 w:themeColor="text1"/>
          <w:sz w:val="24"/>
          <w:szCs w:val="24"/>
        </w:rPr>
      </w:r>
    </w:p>
    <w:tbl>
      <w:tblPr>
        <w:tblStyle w:val="a4"/>
        <w:tblW w:w="1020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05"/>
        <w:gridCol w:w="6100"/>
      </w:tblGrid>
      <w:tr>
        <w:trPr>
          <w:trHeight w:val="1418" w:hRule="atLeast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Додаток</w:t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до рішення виконавчого комітету </w:t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міської ради</w:t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________________№_______</w:t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ПОЛОЖЕННЯ</w:t>
      </w:r>
    </w:p>
    <w:p>
      <w:pPr>
        <w:pStyle w:val="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про уповноважену особу</w:t>
      </w:r>
    </w:p>
    <w:p>
      <w:pPr>
        <w:pStyle w:val="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виконавчого комітету Калуської міської ради </w:t>
      </w:r>
    </w:p>
    <w:p>
      <w:pPr>
        <w:pStyle w:val="Normal"/>
        <w:shd w:val="clear" w:color="auto" w:fill="FFFFFF"/>
        <w:spacing w:lineRule="auto" w:line="276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76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</w:rPr>
        <w:t>I. Загальні положення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1.1. Це Положення розроблено відповідно до абзацу третього пункту 11 частини першої статті 9 та частини дев’ятої статті 11 Закону «Про публічні закупівлі» (далі — Закон) і визначає правовий статус, загальні організаційні та процедурні засади діяльності уповноваженої особи (осіб), а також їх права, обов’язки та відповідальність.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1.2.  У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highlight w:val="white"/>
        </w:rPr>
        <w:t>повноважена особа — посадова особа, яка є працівником виконавчого комітету Калуської міської ради (далі – замовник)  і визначена відповідальною за організацію та  проведення закупівель / процедур закупівель / спрощених закупівель згідно із Зак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оном на підставі рішення виконавчого комітету Калуської міської ради.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1.3.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highlight w:val="white"/>
        </w:rPr>
        <w:t>Уповноважена особа під час організації та проведення закупівлі, процедури закупівлі / спрощеної закупівлі повинна забезпечити об’єктивність і неупередженість процесу в інтересах замовника.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highlight w:val="white"/>
        </w:rPr>
        <w:t>1.4. Визначення або призначення уповноваженої особи не повинно створювати конфлікт між інтересами замовника та учасника чи між інтересами учасників процедури закупівлі / спрощеної закупівлі, наявність якого може вплинути на об’єктивність і неупередженість ухвалення рішень щодо вибору переможця процедури закупівлі / спрощеної закупівлі.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highlight w:val="white"/>
        </w:rPr>
        <w:t>1.5. Уповноважена особа для здійснення своїх функцій, визначених Законом, підтверджує свій рівень володіння необхідними (базовими) знаннями у сфері публічних закупівель на вебпорталі Уповноваженого органу з питань закупівель шляхом проходження безкоштовного тестування.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1.6. Уповноважена особа у своїй діяльності керується Законом, принципами здійснення публічних закупівель, визначених Законом, іншими нормативно-правовими актами та цим Положенням.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276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ІI. Організація діяльності уповноваженої особи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2.1. Уповноважена особа визначається або призначається замовником одним із таких способів: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1) шляхом покладення на працівника із штатної чисельності функцій уповноваженої особи як додаткової роботи з відповідною доплатою згідно із законодавством;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2) шляхом уведення до штатного розпису окремої посади, на яку буде покладено обов’язки виконання функцій уповноваженої особи (уповноважених осіб);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3) шляхом укладення трудового договору (контракту) згідно із законодавством.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Замовник може використовувати одночасно декілька способів для визначення різних уповноважених осіб.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2.2. Замовник для організації та проведення процедур закупівель / спрощених закупівель може призначати одну або декілька уповноважених осіб залежно від обсягів закупівель та особливостей своєї діяльності за умови, що кожна з таких осіб буде відповідальною за організацію та проведення конкретних процедур закупівель / спрощених закупівель.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У разі визначення двох і більше уповноважених осіб замовник може прийняти рішення про утворення відповідного окремого структурного підрозділу та визначити керівника, який організовує роботу такого підрозділу.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2.3.  У разі відсутності однієї уповноваженої особи (під час перебування на лікарняному, у відрядженні або відпустці) замовник має право визначити іншу уповноважену особу, яка буде виконувати обов’язки такої уповноваженої особи.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2.4. У разі призначення уповноваженою особою фахівця з публічних закупівель така особа має відповідати професійним компетентностям та мати знання, вміння і навички, що визначені в наказі Міністерства соціальної політики України від 18.02.2019 № 234 «Про затвердження професійного стандарту «Фахівець з публічних закупівель».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2.5. Не можуть призначатися уповноваженими особами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районної, обласної ради.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2.6. За рішенням замовника може утворюватися робоча група у складі працівників замовника, ініціатором утворення якої може бути уповноважена особа.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У рішенні про утворення робочої групи замовник визначає перелік працівників, що входять до складу робочої групи, та уповноважену особу, яка буде головою, у разі, якщо в замовника призначено кілька уповноважених осіб.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До складу робочої групи не можуть входити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районної, обласної ради.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У разі утворення робочої групи уповноважена особа є її головою та організовує її роботу.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Робоча група бере участь:</w:t>
      </w:r>
    </w:p>
    <w:p>
      <w:pPr>
        <w:pStyle w:val="Normal"/>
        <w:shd w:val="clear" w:color="auto" w:fill="FFFFFF"/>
        <w:spacing w:lineRule="auto" w:line="276"/>
        <w:ind w:left="1440" w:hanging="36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у підготовці тендерної документації, оголошення про проведення спрощеної закупівлі та вимог до предмета закупівлі;</w:t>
      </w:r>
    </w:p>
    <w:p>
      <w:pPr>
        <w:pStyle w:val="Normal"/>
        <w:shd w:val="clear" w:color="auto" w:fill="FFFFFF"/>
        <w:spacing w:lineRule="auto" w:line="276"/>
        <w:ind w:left="1440" w:hanging="36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  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у розгляді тендерних пропозицій / пропозицій;</w:t>
      </w:r>
    </w:p>
    <w:p>
      <w:pPr>
        <w:pStyle w:val="Normal"/>
        <w:shd w:val="clear" w:color="auto" w:fill="FFFFFF"/>
        <w:spacing w:lineRule="auto" w:line="276"/>
        <w:ind w:left="1440" w:hanging="36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  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у проведенні переговорів у разі здійснення переговорної процедури.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Члени робочої групи об’єктивно та неупереджено розглядають тендерні пропозиції / пропозиції та забезпечують збереження конфіденційності інформації, яка визначена учасниками як конфіденційна.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Рішення робочої групи оформлюються протоколом із зазначенням дати і часу прийняття рішення та мають дорадчий характер.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2.7. Уповноважена особа завершує процедури розпочаті тендерним комітетом.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276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ІІІ. Засади діяльності та вимоги до уповноваженої особи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3.1. Уповноважена особа здійснює свою діяльність на підставі укладеного із замовником трудового договору (контракту) або розпорядчого рішення замовника та відповідного положення, а також згідно з  нормами трудового законодавства. У разі укладення трудового договору (контракту) такий договір (контракт) може укладатися за погодженням із замовником та уповноваженою особою на встановлений чи невизначений строк.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3.2. Уповноважена особа не може здійснювати діяльність на підставі договору про надання послуг для проведення процедур (процедури) закупівель / спрощених закупівель (спрощеної закупівлі).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3.3. Оплата праці (доплата) уповноваженої особи здійснюється на підставі законів та інших нормативно-правових актів України, генеральної, галузевих, регіональних угод, колективних договорів. Розмір заробітної плати (доплати) уповноваженої особи визначається у трудовому договорі (контракті) відповідно до вимог законодавства.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3.4. Рішення уповноваженої особи оформлюються протоколом із зазначенням дати прийняття рішення, який підписується уповноваженою особою.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3.5. Уповноважена особа  повинна мати вищу освіту, як правило, юридичну або економічну, та базовий рівень знань у сфері публічних закупівель.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3.6. Уповноваженій особі рекомендовано мати досвід роботи у сфері публічних закупівель.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3.7. Уповноваженій особі рекомендовано дотримуватися принципів доброчесності та діяти на основі етичних міркувань, передбачених настановами щодо етичної поведінки під час здійснення публічних закупівель.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3.8. Залежно від обсягів та предмета закупівлі уповноваженій особі доцільно орієнтуватися, зокрема, у таких питаннях: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в основах сучасного маркетингу, кон’юнктурі ринків товарів, робіт і послуг та факторах, що впливають на її формування, а також джерелах інформації про ринкову кон’юнктуру;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у чинних стандартах та технічних умовах товарів, робіт і послуг, які закуповуються замовником;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у видах, істотних умовах та особливостях укладення догорів про закупівлю товарів, робіт і послуг тощо.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3.9. Під час користування електронною системою закупівель уповноважена особа вносить до електронної системи закупівель персональні дані, надає згоду на їх обробку та оновлює такі дані у разі їх зміни. Персональні дані, внесені уповноваженою особою до електронної системи закупівель, не оприлюднюються.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</w:rPr>
        <w:t>3.10. До основних завдань (функцій) уповноваженої особи належать: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планування закупівель та формування річного плану закупівель в електронній системі закупівель;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проведення попередніх ринкових консультацій з метою аналізу ринку;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здійснення вибору типу / виду закупівлі;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організація та проведення закупівель / процедур закупівель / спрощених закупівель;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застосування електронного каталогу;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забезпечення укладання рамкових угод;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забезпечення рівних умов для всіх учасників, об’єктивний та чесний вибір переможця закупівлі / процедури закупівлі / спрощеної закупівлі / переможця, що обрано за результатом застосування електронного каталогу;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забезпечення складання, затвердження та зберігання відповідних документів з питань публічних закупівель, визначених цим Законом;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забезпечення оприлюднення в електронній системі закупівель інформації, необхідної для виконання вимог цього Закону та /або нормативно-правових актів, прийнятими на його виконання / нормативно-правових актів, що регулюють сферу публічних закупівель;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забезпечення надсилання в електронному вигляді до органу оскарження інформації, документів та матеріалів щодо проведення процедур закупівель у разі отримання запиту від органу оскарження;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взаємодія з органами, що здійснюють контроль у сфері публічних закупівель, під час виконання ними своїх функцій відповідно до законодавства;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здійснення інших дій, передбачених Законом, трудовим договором (контрактом) або розпорядчим рішенням замовника.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276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IV. Права та обов’язки уповноваженої особи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4.1. Уповноважена особа має право: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проходити навчання з питань організації та здійснення публічних закупівель, у тому числі дистанційне, що здійснюється за допомогою мережі інтернет;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брати участь у плануванні видатків і визначенні потреби в товарах, роботах і послугах, що закуповуватимуться;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запитувати та отримувати рекомендації та інформацію від суб’єктів господарювання для планування закупівель та підготовки до проведення закупівель / процедур закупівель / спрощених закупівель;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вимагати та отримувати від службових осіб і підрозділів замовника інформацію та документи, необхідні для виконання завдань (функцій), пов’язаних з організацією та проведенням закупівель / процедур закупівель / спрощених закупівель;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приймати рішення, узгоджувати проєкти документів, зокрема проєкт договору про закупівлю з метою забезпечення його відповідності умовам закупівлі / процедури закупівлі / спрощеної закупівлі, та підписувати в межах своєї компетенції відповідні документи;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ініціювати утворення робочої групи із складу працівників замовника;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надавати пропозиції керівнику щодо співпраці із централізованою закупівельною організацією;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брати участь у нарадах, зборах з питань, пов’язаних з виконанням її з функціональних обов’язків уповноваженої особи;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надавати роз’яснення і консультації структурним підрозділам замовника з питань, що належать до компетенції уповноваженої особи;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ознайомлюватися з документами, що визначають права та обов’язки уповноваженої особи;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уносити пропозиції керівнику щодо організації закупівельної діяльності замовника;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приймати рішення з оформленням відповідного протоколу щодо необхідності виправлення технічних (механічних, формальних) помилок, допущених при внесенні інформації про закупівлю,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яка оприлюднюється на вебпорталі Уповноваженого органу;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здійснювати інші дії, передбачені законодавством.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</w:rPr>
        <w:t>4.2. Уповноважена особа зобов’язана: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дотримуватися норм чинного законодавства у сфері публічних закупівель та цього Положення;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</w:rPr>
        <w:t>організовувати та проводити закупівлі / процедури закупівель / спрощені закупівлі згідно з вимогами Закону та / або нормативно-правовими актами, прийнятими на його виконання / нормативно-правовими актами, що регулюють сферу публічних закупівель;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</w:rPr>
        <w:t>забезпечувати рівні умови для всіх учасників закупівлі / процедури закупівлі / спрощеної закупівлі, об’єктивний вибір переможця;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</w:rPr>
        <w:t>у встановленому Законом порядку визначати переможців закупівель / процедур закупівель / спрощених закупівель / переможця за результатом застосування електронного каталогу;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оприлюднювати іншу інформацію, документи, передбачені Законом.</w:t>
      </w:r>
    </w:p>
    <w:p>
      <w:pPr>
        <w:pStyle w:val="Normal"/>
        <w:shd w:val="clear" w:color="auto" w:fill="FFFFFF"/>
        <w:spacing w:lineRule="auto" w:line="276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4.3. Уповноважена особа несе персональну відповідальність: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за прийняті нею рішення і вчинені дії (в т. ч. бездіяльність) відповідно до чинного законодавства України;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за повноту та достовірність інформації, що оприлюднюється на вебпорталі Уповноваженого органу з питань закупівель;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за порушення вимог, установлених Законом та нормативно-правовими актами, прийнятими на його виконання / нормативно-правовими актами, що регулюють сферу публічних закупівель.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Заступник міського голови                                                                                   Надія ГУШ</w:t>
      </w:r>
    </w:p>
    <w:p>
      <w:pPr>
        <w:pStyle w:val="Normal"/>
        <w:pBdr/>
        <w:shd w:val="clear" w:color="auto" w:fill="FFFFFF"/>
        <w:spacing w:before="280" w:after="280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</w:r>
      <w:bookmarkStart w:id="20" w:name="_Hlk117846668"/>
      <w:bookmarkStart w:id="21" w:name="_Hlk117846668"/>
      <w:bookmarkEnd w:id="21"/>
    </w:p>
    <w:p>
      <w:pPr>
        <w:pStyle w:val="Normal"/>
        <w:pBdr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6b36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0"/>
      <w:szCs w:val="20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146b36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146b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789D6-70D8-4CB8-BC79-36F1F2B5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LibreOffice/6.4.7.2$Linux_X86_64 LibreOffice_project/40$Build-2</Application>
  <Pages>8</Pages>
  <Words>1728</Words>
  <Characters>12303</Characters>
  <CharactersWithSpaces>14170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2022-11-02T08:27:00Z</dcterms:created>
  <dc:creator>user</dc:creator>
  <dc:description/>
  <dc:language>uk-UA</dc:language>
  <cp:lastModifiedBy>user</cp:lastModifiedBy>
  <dcterms:modified xsi:type="dcterms:W3CDTF">2022-11-02T13:30:00Z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